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37" w:rsidRDefault="0063174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076E0062" wp14:editId="2211616E">
            <wp:extent cx="5400040" cy="523240"/>
            <wp:effectExtent l="0" t="0" r="0" b="0"/>
            <wp:docPr id="1" name="Imagem 1" descr="C:\Users\Marina\Downloads\MARCA_CEFET_C_TEX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Marina\Downloads\MARCA_CEFET_C_TEXTO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742" w:rsidRDefault="00631742">
      <w:pPr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Disciplina:</w:t>
      </w:r>
      <w:r>
        <w:rPr>
          <w:rFonts w:ascii="Times New Roman" w:hAnsi="Times New Roman" w:cs="Times New Roman"/>
          <w:sz w:val="24"/>
          <w:szCs w:val="24"/>
        </w:rPr>
        <w:t xml:space="preserve"> Metodologia de Pesquisa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Professor (a):</w:t>
      </w:r>
      <w:r>
        <w:rPr>
          <w:rFonts w:ascii="Times New Roman" w:hAnsi="Times New Roman" w:cs="Times New Roman"/>
          <w:sz w:val="24"/>
          <w:szCs w:val="24"/>
        </w:rPr>
        <w:t xml:space="preserve"> Raquel </w:t>
      </w:r>
      <w:proofErr w:type="spellStart"/>
      <w:r>
        <w:rPr>
          <w:rFonts w:ascii="Times New Roman" w:hAnsi="Times New Roman" w:cs="Times New Roman"/>
          <w:sz w:val="24"/>
          <w:szCs w:val="24"/>
        </w:rPr>
        <w:t>Bambirra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Aluno (a):</w:t>
      </w:r>
      <w:r>
        <w:rPr>
          <w:rFonts w:ascii="Times New Roman" w:hAnsi="Times New Roman" w:cs="Times New Roman"/>
          <w:sz w:val="24"/>
          <w:szCs w:val="24"/>
        </w:rPr>
        <w:t xml:space="preserve"> Gisela Cardoso Teixeira </w:t>
      </w: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51428B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OFICINA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Título do Projeto: </w:t>
      </w:r>
      <w:r>
        <w:rPr>
          <w:rFonts w:ascii="Times New Roman" w:hAnsi="Times New Roman" w:cs="Times New Roman"/>
          <w:sz w:val="24"/>
          <w:szCs w:val="24"/>
        </w:rPr>
        <w:t xml:space="preserve">O Golfo Pérsico no jornalismo brasileiro: uma análise discursiva das narrativas de guerra 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Pr="00AD4563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Considera-se que analisar o material publicado durante quase nove anos de conflito em dois impressos diários seja uma tarefa árdua e que, possivelmente, necessitaria de muito mais tempo além dos dois anos do mestrado. Sendo assim, foram estabelecidos alguns critérios para selecionar o corpus específico desta pesquisa – isto é, a quantidade de narrativas das coberturas das Guerras Irã-Iraque e do Golfo dos jornais </w:t>
      </w:r>
      <w:r w:rsidRPr="00614697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614697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614697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sz w:val="24"/>
          <w:szCs w:val="24"/>
        </w:rPr>
        <w:t xml:space="preserve">. Os impressos serão obtidos por meio de seus respectivos acervos digitais.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uma primeira análise, foi observado o potencial do agendamento que ambos os impressos concederam ao acontecimento da guerra – ou seja, a ênfase e a frequência que os assuntos apareceram em suas edições diárias. Para isso, foram utilizados os conceitos acerca do acontecimento midiático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(2012) e França (2012).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acordo com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(2012), o acontecimento é sempre construído em uma narrativa, em que a mídia tenta explicá-lo, dando-lhe uma camada de sentido. França (2012), por sua vez, concorda com essa ideia e propõe também </w:t>
      </w:r>
      <w:r w:rsidRPr="00421060">
        <w:rPr>
          <w:rFonts w:ascii="Times New Roman" w:hAnsi="Times New Roman" w:cs="Times New Roman"/>
          <w:sz w:val="24"/>
          <w:szCs w:val="24"/>
        </w:rPr>
        <w:t>duas categorias do processo de in</w:t>
      </w:r>
      <w:r>
        <w:rPr>
          <w:rFonts w:ascii="Times New Roman" w:hAnsi="Times New Roman" w:cs="Times New Roman"/>
          <w:sz w:val="24"/>
          <w:szCs w:val="24"/>
        </w:rPr>
        <w:t xml:space="preserve">dividuação de um acontecimento: </w:t>
      </w:r>
      <w:r w:rsidRPr="0042106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sua </w:t>
      </w:r>
      <w:r w:rsidRPr="00421060">
        <w:rPr>
          <w:rFonts w:ascii="Times New Roman" w:hAnsi="Times New Roman" w:cs="Times New Roman"/>
          <w:sz w:val="24"/>
          <w:szCs w:val="24"/>
        </w:rPr>
        <w:t xml:space="preserve">caracterização </w:t>
      </w:r>
      <w:r>
        <w:rPr>
          <w:rFonts w:ascii="Times New Roman" w:hAnsi="Times New Roman" w:cs="Times New Roman"/>
          <w:sz w:val="24"/>
          <w:szCs w:val="24"/>
        </w:rPr>
        <w:t>como um problema público, e a</w:t>
      </w:r>
      <w:r w:rsidRPr="00421060">
        <w:rPr>
          <w:rFonts w:ascii="Times New Roman" w:hAnsi="Times New Roman" w:cs="Times New Roman"/>
          <w:sz w:val="24"/>
          <w:szCs w:val="24"/>
        </w:rPr>
        <w:t xml:space="preserve"> normalização, que </w:t>
      </w:r>
      <w:r>
        <w:rPr>
          <w:rFonts w:ascii="Times New Roman" w:hAnsi="Times New Roman" w:cs="Times New Roman"/>
          <w:sz w:val="24"/>
          <w:szCs w:val="24"/>
        </w:rPr>
        <w:t xml:space="preserve">consiste </w:t>
      </w:r>
      <w:r w:rsidRPr="00421060">
        <w:rPr>
          <w:rFonts w:ascii="Times New Roman" w:hAnsi="Times New Roman" w:cs="Times New Roman"/>
          <w:sz w:val="24"/>
          <w:szCs w:val="24"/>
        </w:rPr>
        <w:t>reduzir a indeterminação do acontecimento e o estranhamento dos sujeitos em relação a ele, insc</w:t>
      </w:r>
      <w:r>
        <w:rPr>
          <w:rFonts w:ascii="Times New Roman" w:hAnsi="Times New Roman" w:cs="Times New Roman"/>
          <w:sz w:val="24"/>
          <w:szCs w:val="24"/>
        </w:rPr>
        <w:t xml:space="preserve">revendo-o em um contexto causal – isto é, a mídia tenta inserir determinado acontecimento na rotina de seu público, normalizando-o em seu cotidiano, o que interfere em seu poder de agendamento ao longo de seu desfecho.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Essa categoria de normalização pôde ser identificada no tratamento dos impressos dado aos acontecimentos da guerra. No primeiro dia de ambos os conflitos analisados, o assunto era destaque nas manchetes das capas dos jornais e, tanto a </w:t>
      </w:r>
      <w:r w:rsidRPr="00F73E0A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F73E0A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quanto </w:t>
      </w:r>
      <w:r w:rsidRPr="00F73E0A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sz w:val="24"/>
          <w:szCs w:val="24"/>
        </w:rPr>
        <w:t xml:space="preserve">, criaram subeditorias especiais (em meio à editoria internacional) para falar apenas sobre a Guerra Irã-Iraque e a Guerra do Golfo. No entanto, ao decorrer dos conflitos, o assunto foi recebendo menos destaque: aos poucos, as guerras não apareciam mais nas manchetes, o número de notícias diminuía, até que a sua subeditoria especializada desaparecesse.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respeito da Guerra Irã-Iraque, a sua cobertura em série pela </w:t>
      </w:r>
      <w:r w:rsidRPr="004F3654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4F3654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teve a duração de um mês de conflito (a subeditoria “O Conflito Irã-Iraque” deixou de existir a partir da edição do dia 25 de outubro de 1980), assim como também a cobertura do </w:t>
      </w:r>
      <w:r w:rsidRPr="00F73E0A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Já a respeito da Guerra do Golfo, o mesmo fato pôde ser observado: os dois jornais criaram uma subeditoria especial para a cobertura do conflito. No entanto, a sua duração foi um pouco mais longa em comparação à guerra anterior: o espaço para se falar exclusivamente sobre a Guerra do Golfo existiu até o dia 14 de outubro de 1990, na </w:t>
      </w:r>
      <w:r w:rsidRPr="001A225D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1A225D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 até o dia 22 do mesmo mês no jornal </w:t>
      </w:r>
      <w:r w:rsidRPr="001A225D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Então, a partir desta observação, sugere-se analisar o material publicado pela Folha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O Globo durante o primeiro mês das Guerras Irã-Iraque e do Golfo, considerado o período em que houve um número de narrativas maior – ou seja, um maior grau de agendamento -, até que o acontecimento fosse inserido em uma normatização. Também é importante analisar as narrativas notícias da edição seguinte do dia do armistício oficial das guerras, a fim de observar como foi tratado o desfecho final do acontecimento dos conflitos.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Assim sendo, a partir desse critério a respeito da relação do agendamento e da normatização do acontecimento, foi selecionado um total de 361 narrativas. Esse número pode ser compreendido mais detalhadamente nos quadros a seguir. </w:t>
      </w: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5142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5"/>
        <w:gridCol w:w="2803"/>
        <w:gridCol w:w="1288"/>
        <w:gridCol w:w="1519"/>
      </w:tblGrid>
      <w:tr w:rsidR="0051428B" w:rsidTr="004972BC">
        <w:trPr>
          <w:trHeight w:val="285"/>
        </w:trPr>
        <w:tc>
          <w:tcPr>
            <w:tcW w:w="8385" w:type="dxa"/>
            <w:gridSpan w:val="4"/>
          </w:tcPr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Folha de </w:t>
            </w:r>
            <w:proofErr w:type="spellStart"/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S.Paulo</w:t>
            </w:r>
            <w:proofErr w:type="spellEnd"/>
          </w:p>
        </w:tc>
      </w:tr>
      <w:tr w:rsidR="0051428B" w:rsidTr="004972BC">
        <w:trPr>
          <w:trHeight w:val="586"/>
        </w:trPr>
        <w:tc>
          <w:tcPr>
            <w:tcW w:w="2775" w:type="dxa"/>
          </w:tcPr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01 (um mês) de cobertura midiática</w:t>
            </w:r>
          </w:p>
        </w:tc>
        <w:tc>
          <w:tcPr>
            <w:tcW w:w="1288" w:type="dxa"/>
          </w:tcPr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Último dia</w:t>
            </w:r>
          </w:p>
        </w:tc>
        <w:tc>
          <w:tcPr>
            <w:tcW w:w="1519" w:type="dxa"/>
          </w:tcPr>
          <w:p w:rsidR="0051428B" w:rsidRPr="00106882" w:rsidRDefault="0051428B" w:rsidP="00497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1428B" w:rsidTr="004972BC">
        <w:trPr>
          <w:trHeight w:val="809"/>
        </w:trPr>
        <w:tc>
          <w:tcPr>
            <w:tcW w:w="2775" w:type="dxa"/>
          </w:tcPr>
          <w:p w:rsidR="0051428B" w:rsidRPr="00106882" w:rsidRDefault="0051428B" w:rsidP="00497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Guerra do Irã-Iraque</w:t>
            </w:r>
          </w:p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(22/09/1980 – 20/08/1988)</w:t>
            </w:r>
          </w:p>
        </w:tc>
        <w:tc>
          <w:tcPr>
            <w:tcW w:w="2803" w:type="dxa"/>
          </w:tcPr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notícias</w:t>
            </w: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notícias</w:t>
            </w: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notícias</w:t>
            </w: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28B" w:rsidTr="004972BC">
        <w:trPr>
          <w:trHeight w:val="2040"/>
        </w:trPr>
        <w:tc>
          <w:tcPr>
            <w:tcW w:w="2775" w:type="dxa"/>
          </w:tcPr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Guerra do Golfo</w:t>
            </w:r>
          </w:p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(02/08/1990 – 28/02/1991)</w:t>
            </w:r>
          </w:p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notícias</w:t>
            </w: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notícias</w:t>
            </w:r>
          </w:p>
        </w:tc>
        <w:tc>
          <w:tcPr>
            <w:tcW w:w="1519" w:type="dxa"/>
          </w:tcPr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notícias</w:t>
            </w:r>
          </w:p>
        </w:tc>
      </w:tr>
    </w:tbl>
    <w:p w:rsidR="0051428B" w:rsidRPr="001A225D" w:rsidRDefault="0051428B" w:rsidP="0051428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5"/>
        <w:gridCol w:w="2803"/>
        <w:gridCol w:w="1288"/>
        <w:gridCol w:w="1519"/>
      </w:tblGrid>
      <w:tr w:rsidR="0051428B" w:rsidTr="004972BC">
        <w:trPr>
          <w:trHeight w:val="285"/>
        </w:trPr>
        <w:tc>
          <w:tcPr>
            <w:tcW w:w="8385" w:type="dxa"/>
            <w:gridSpan w:val="4"/>
          </w:tcPr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Globo</w:t>
            </w:r>
          </w:p>
        </w:tc>
      </w:tr>
      <w:tr w:rsidR="0051428B" w:rsidTr="004972BC">
        <w:trPr>
          <w:trHeight w:val="586"/>
        </w:trPr>
        <w:tc>
          <w:tcPr>
            <w:tcW w:w="2775" w:type="dxa"/>
          </w:tcPr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01 (um mês) de cobertura midiática</w:t>
            </w:r>
          </w:p>
        </w:tc>
        <w:tc>
          <w:tcPr>
            <w:tcW w:w="1288" w:type="dxa"/>
          </w:tcPr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Último dia</w:t>
            </w:r>
          </w:p>
        </w:tc>
        <w:tc>
          <w:tcPr>
            <w:tcW w:w="1519" w:type="dxa"/>
          </w:tcPr>
          <w:p w:rsidR="0051428B" w:rsidRPr="00106882" w:rsidRDefault="0051428B" w:rsidP="00497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51428B" w:rsidTr="004972BC">
        <w:trPr>
          <w:trHeight w:val="809"/>
        </w:trPr>
        <w:tc>
          <w:tcPr>
            <w:tcW w:w="2775" w:type="dxa"/>
          </w:tcPr>
          <w:p w:rsidR="0051428B" w:rsidRPr="00106882" w:rsidRDefault="0051428B" w:rsidP="00497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Guerra do Irã-Iraque</w:t>
            </w:r>
          </w:p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(22/09/1980 – 20/08/1988)</w:t>
            </w:r>
          </w:p>
        </w:tc>
        <w:tc>
          <w:tcPr>
            <w:tcW w:w="2803" w:type="dxa"/>
          </w:tcPr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notícias</w:t>
            </w: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notícias</w:t>
            </w: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notícias</w:t>
            </w: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28B" w:rsidTr="004972BC">
        <w:trPr>
          <w:trHeight w:val="2040"/>
        </w:trPr>
        <w:tc>
          <w:tcPr>
            <w:tcW w:w="2775" w:type="dxa"/>
          </w:tcPr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Guerra do Golfo</w:t>
            </w:r>
          </w:p>
          <w:p w:rsidR="0051428B" w:rsidRPr="00106882" w:rsidRDefault="0051428B" w:rsidP="004972BC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882">
              <w:rPr>
                <w:rFonts w:ascii="Times New Roman" w:hAnsi="Times New Roman" w:cs="Times New Roman"/>
                <w:b/>
                <w:sz w:val="24"/>
                <w:szCs w:val="24"/>
              </w:rPr>
              <w:t>(02/08/1990 – 28/02/1991)</w:t>
            </w:r>
          </w:p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notícias</w:t>
            </w: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notícias</w:t>
            </w:r>
          </w:p>
        </w:tc>
        <w:tc>
          <w:tcPr>
            <w:tcW w:w="1519" w:type="dxa"/>
          </w:tcPr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28B" w:rsidRDefault="0051428B" w:rsidP="0049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notícias</w:t>
            </w:r>
          </w:p>
        </w:tc>
      </w:tr>
    </w:tbl>
    <w:p w:rsidR="002727C2" w:rsidRDefault="002727C2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28B">
        <w:rPr>
          <w:rFonts w:ascii="Times New Roman" w:hAnsi="Times New Roman" w:cs="Times New Roman"/>
          <w:b/>
          <w:sz w:val="24"/>
          <w:szCs w:val="24"/>
        </w:rPr>
        <w:lastRenderedPageBreak/>
        <w:t>Referências</w:t>
      </w: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28B">
        <w:rPr>
          <w:rFonts w:ascii="Times New Roman" w:hAnsi="Times New Roman" w:cs="Times New Roman"/>
          <w:sz w:val="24"/>
          <w:szCs w:val="24"/>
        </w:rPr>
        <w:t xml:space="preserve">CHARAUDEAU, Patrick. </w:t>
      </w:r>
      <w:r w:rsidRPr="0051428B">
        <w:rPr>
          <w:rFonts w:ascii="Times New Roman" w:hAnsi="Times New Roman" w:cs="Times New Roman"/>
          <w:b/>
          <w:sz w:val="24"/>
          <w:szCs w:val="24"/>
        </w:rPr>
        <w:t>Discurso das Mídias</w:t>
      </w:r>
      <w:r w:rsidRPr="0051428B">
        <w:rPr>
          <w:rFonts w:ascii="Times New Roman" w:hAnsi="Times New Roman" w:cs="Times New Roman"/>
          <w:sz w:val="24"/>
          <w:szCs w:val="24"/>
        </w:rPr>
        <w:t>. São Paulo: Contexto,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28B">
        <w:rPr>
          <w:rFonts w:ascii="Times New Roman" w:hAnsi="Times New Roman" w:cs="Times New Roman"/>
          <w:sz w:val="24"/>
          <w:szCs w:val="24"/>
        </w:rPr>
        <w:t>2012.</w:t>
      </w:r>
    </w:p>
    <w:p w:rsid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8B" w:rsidRPr="0051428B" w:rsidRDefault="0051428B" w:rsidP="003A1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28B">
        <w:rPr>
          <w:rFonts w:ascii="Times New Roman" w:hAnsi="Times New Roman" w:cs="Times New Roman"/>
          <w:sz w:val="24"/>
          <w:szCs w:val="24"/>
        </w:rPr>
        <w:t xml:space="preserve">FRANÇA, V. O acontecimento e a mídia. </w:t>
      </w:r>
      <w:proofErr w:type="spellStart"/>
      <w:r w:rsidRPr="0051428B">
        <w:rPr>
          <w:rFonts w:ascii="Times New Roman" w:hAnsi="Times New Roman" w:cs="Times New Roman"/>
          <w:b/>
          <w:sz w:val="24"/>
          <w:szCs w:val="24"/>
        </w:rPr>
        <w:t>Galaxia</w:t>
      </w:r>
      <w:proofErr w:type="spellEnd"/>
      <w:r w:rsidRPr="0051428B">
        <w:rPr>
          <w:rFonts w:ascii="Times New Roman" w:hAnsi="Times New Roman" w:cs="Times New Roman"/>
          <w:b/>
          <w:sz w:val="24"/>
          <w:szCs w:val="24"/>
        </w:rPr>
        <w:t xml:space="preserve"> (São Paulo, Online)</w:t>
      </w:r>
      <w:r w:rsidRPr="0051428B">
        <w:rPr>
          <w:rFonts w:ascii="Times New Roman" w:hAnsi="Times New Roman" w:cs="Times New Roman"/>
          <w:sz w:val="24"/>
          <w:szCs w:val="24"/>
        </w:rPr>
        <w:t>, n. 24, p. 10-21, dez. 2012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sectPr w:rsidR="0051428B" w:rsidRPr="0051428B" w:rsidSect="002727C2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42"/>
    <w:rsid w:val="000F5837"/>
    <w:rsid w:val="00192E1B"/>
    <w:rsid w:val="0019435A"/>
    <w:rsid w:val="00247257"/>
    <w:rsid w:val="002727C2"/>
    <w:rsid w:val="003A1475"/>
    <w:rsid w:val="00420CEB"/>
    <w:rsid w:val="00424AD5"/>
    <w:rsid w:val="00425040"/>
    <w:rsid w:val="004E5D0E"/>
    <w:rsid w:val="0051428B"/>
    <w:rsid w:val="0052419E"/>
    <w:rsid w:val="00527CE6"/>
    <w:rsid w:val="00631742"/>
    <w:rsid w:val="00920275"/>
    <w:rsid w:val="00A54235"/>
    <w:rsid w:val="00D868C9"/>
    <w:rsid w:val="00F7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74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94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74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94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Gisela</dc:creator>
  <cp:lastModifiedBy>Gisela</cp:lastModifiedBy>
  <cp:revision>2</cp:revision>
  <dcterms:created xsi:type="dcterms:W3CDTF">2017-11-24T01:17:00Z</dcterms:created>
  <dcterms:modified xsi:type="dcterms:W3CDTF">2017-11-24T01:17:00Z</dcterms:modified>
</cp:coreProperties>
</file>