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E24" w:rsidRDefault="00610E24" w:rsidP="00610E24">
      <w:pPr>
        <w:pStyle w:val="Default"/>
        <w:spacing w:line="360" w:lineRule="auto"/>
        <w:ind w:left="720"/>
        <w:jc w:val="both"/>
        <w:outlineLvl w:val="0"/>
        <w:rPr>
          <w:b/>
          <w:sz w:val="23"/>
          <w:szCs w:val="23"/>
        </w:rPr>
      </w:pPr>
      <w:bookmarkStart w:id="0" w:name="_Toc420777292"/>
    </w:p>
    <w:p w:rsidR="00610E24" w:rsidRDefault="00610E24" w:rsidP="005F323D">
      <w:pPr>
        <w:pStyle w:val="Default"/>
        <w:jc w:val="both"/>
        <w:outlineLvl w:val="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Disciplina: </w:t>
      </w:r>
      <w:proofErr w:type="spellStart"/>
      <w:r w:rsidRPr="00610E24">
        <w:rPr>
          <w:sz w:val="23"/>
          <w:szCs w:val="23"/>
        </w:rPr>
        <w:t>Metologia</w:t>
      </w:r>
      <w:proofErr w:type="spellEnd"/>
      <w:r w:rsidRPr="00610E24">
        <w:rPr>
          <w:sz w:val="23"/>
          <w:szCs w:val="23"/>
        </w:rPr>
        <w:t xml:space="preserve"> da pesquisa</w:t>
      </w:r>
    </w:p>
    <w:p w:rsidR="00610E24" w:rsidRDefault="00610E24" w:rsidP="005F323D">
      <w:pPr>
        <w:pStyle w:val="Default"/>
        <w:jc w:val="both"/>
        <w:outlineLvl w:val="0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Profª</w:t>
      </w:r>
      <w:proofErr w:type="spellEnd"/>
      <w:r>
        <w:rPr>
          <w:b/>
          <w:sz w:val="23"/>
          <w:szCs w:val="23"/>
        </w:rPr>
        <w:t xml:space="preserve">. </w:t>
      </w:r>
      <w:r w:rsidRPr="00610E24">
        <w:rPr>
          <w:sz w:val="23"/>
          <w:szCs w:val="23"/>
        </w:rPr>
        <w:t xml:space="preserve">Raquel </w:t>
      </w:r>
      <w:proofErr w:type="spellStart"/>
      <w:r w:rsidRPr="00610E24">
        <w:rPr>
          <w:sz w:val="23"/>
          <w:szCs w:val="23"/>
        </w:rPr>
        <w:t>Bambirra</w:t>
      </w:r>
      <w:proofErr w:type="spellEnd"/>
    </w:p>
    <w:p w:rsidR="00610E24" w:rsidRDefault="00610E24" w:rsidP="005F323D">
      <w:pPr>
        <w:pStyle w:val="Default"/>
        <w:jc w:val="both"/>
        <w:outlineLvl w:val="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Aluna: </w:t>
      </w:r>
      <w:r w:rsidRPr="00610E24">
        <w:rPr>
          <w:sz w:val="23"/>
          <w:szCs w:val="23"/>
        </w:rPr>
        <w:t>Marina Santos Silva</w:t>
      </w:r>
    </w:p>
    <w:p w:rsidR="00610E24" w:rsidRDefault="00610E24" w:rsidP="005F323D">
      <w:pPr>
        <w:pStyle w:val="Default"/>
        <w:jc w:val="both"/>
        <w:outlineLvl w:val="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Orientadora: </w:t>
      </w:r>
      <w:r w:rsidRPr="00610E24">
        <w:rPr>
          <w:sz w:val="23"/>
          <w:szCs w:val="23"/>
        </w:rPr>
        <w:t>Lílian Arão</w:t>
      </w:r>
    </w:p>
    <w:p w:rsidR="00610E24" w:rsidRDefault="00610E24" w:rsidP="005F323D">
      <w:pPr>
        <w:pStyle w:val="Default"/>
        <w:jc w:val="both"/>
        <w:outlineLvl w:val="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Projeto: </w:t>
      </w:r>
      <w:r w:rsidRPr="00610E24">
        <w:rPr>
          <w:i/>
          <w:sz w:val="23"/>
          <w:szCs w:val="23"/>
        </w:rPr>
        <w:t>Vida Simples</w:t>
      </w:r>
      <w:r w:rsidRPr="00610E24">
        <w:rPr>
          <w:sz w:val="23"/>
          <w:szCs w:val="23"/>
        </w:rPr>
        <w:t>: O papel das emoções em um discurso jornalístico de autoajuda</w:t>
      </w:r>
    </w:p>
    <w:p w:rsidR="00C25754" w:rsidRDefault="00C25754" w:rsidP="00610E24">
      <w:pPr>
        <w:pStyle w:val="Default"/>
        <w:spacing w:line="360" w:lineRule="auto"/>
        <w:ind w:left="720"/>
        <w:jc w:val="both"/>
        <w:outlineLvl w:val="0"/>
        <w:rPr>
          <w:b/>
          <w:sz w:val="23"/>
          <w:szCs w:val="23"/>
        </w:rPr>
      </w:pPr>
    </w:p>
    <w:p w:rsidR="00C25754" w:rsidRDefault="00C25754" w:rsidP="00610E24">
      <w:pPr>
        <w:pStyle w:val="Default"/>
        <w:spacing w:line="360" w:lineRule="auto"/>
        <w:ind w:left="720"/>
        <w:jc w:val="both"/>
        <w:outlineLvl w:val="0"/>
        <w:rPr>
          <w:b/>
          <w:sz w:val="23"/>
          <w:szCs w:val="23"/>
        </w:rPr>
      </w:pPr>
    </w:p>
    <w:p w:rsidR="00610E24" w:rsidRPr="00353822" w:rsidRDefault="00610E24" w:rsidP="005F323D">
      <w:pPr>
        <w:pStyle w:val="Default"/>
        <w:numPr>
          <w:ilvl w:val="0"/>
          <w:numId w:val="3"/>
        </w:numPr>
        <w:spacing w:line="360" w:lineRule="auto"/>
        <w:jc w:val="both"/>
        <w:outlineLvl w:val="0"/>
        <w:rPr>
          <w:b/>
          <w:sz w:val="23"/>
          <w:szCs w:val="23"/>
        </w:rPr>
      </w:pPr>
      <w:r w:rsidRPr="00353822">
        <w:rPr>
          <w:b/>
          <w:sz w:val="23"/>
          <w:szCs w:val="23"/>
        </w:rPr>
        <w:t>M</w:t>
      </w:r>
      <w:bookmarkEnd w:id="0"/>
      <w:r>
        <w:rPr>
          <w:b/>
          <w:sz w:val="23"/>
          <w:szCs w:val="23"/>
        </w:rPr>
        <w:t>ETODOLOGIA</w:t>
      </w:r>
    </w:p>
    <w:p w:rsidR="00610E24" w:rsidRDefault="00610E24" w:rsidP="00610E24">
      <w:pPr>
        <w:pStyle w:val="Default"/>
        <w:spacing w:line="360" w:lineRule="auto"/>
        <w:jc w:val="both"/>
        <w:rPr>
          <w:sz w:val="23"/>
          <w:szCs w:val="23"/>
        </w:rPr>
      </w:pPr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Esta dissertação se i</w:t>
      </w:r>
      <w:r w:rsidR="005F323D">
        <w:rPr>
          <w:rFonts w:ascii="Times New Roman" w:hAnsi="Times New Roman" w:cs="Times New Roman"/>
          <w:sz w:val="24"/>
          <w:szCs w:val="24"/>
        </w:rPr>
        <w:t>nsere na linha II –</w:t>
      </w:r>
      <w:r>
        <w:rPr>
          <w:rFonts w:ascii="Times New Roman" w:hAnsi="Times New Roman" w:cs="Times New Roman"/>
          <w:sz w:val="24"/>
          <w:szCs w:val="24"/>
        </w:rPr>
        <w:t xml:space="preserve"> Discurso, Mídia e Tecnologia</w:t>
      </w:r>
      <w:r w:rsidR="005F323D">
        <w:rPr>
          <w:rFonts w:ascii="Times New Roman" w:hAnsi="Times New Roman" w:cs="Times New Roman"/>
          <w:sz w:val="24"/>
          <w:szCs w:val="24"/>
        </w:rPr>
        <w:t xml:space="preserve"> –</w:t>
      </w:r>
      <w:r w:rsidR="00370FCB">
        <w:rPr>
          <w:rFonts w:ascii="Times New Roman" w:hAnsi="Times New Roman" w:cs="Times New Roman"/>
          <w:sz w:val="24"/>
          <w:szCs w:val="24"/>
        </w:rPr>
        <w:t xml:space="preserve"> do Programa de Pós-Graduação </w:t>
      </w:r>
      <w:r>
        <w:rPr>
          <w:rFonts w:ascii="Times New Roman" w:hAnsi="Times New Roman" w:cs="Times New Roman"/>
          <w:sz w:val="24"/>
          <w:szCs w:val="24"/>
        </w:rPr>
        <w:t>e</w:t>
      </w:r>
      <w:r w:rsidR="00370FC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Estudos de Linguagens. Propomos, enquanto objetivo geral, uma investigação acerca dos recursos discursivos usados pela revista </w:t>
      </w:r>
      <w:r w:rsidRPr="00003DFC">
        <w:rPr>
          <w:rFonts w:ascii="Times New Roman" w:hAnsi="Times New Roman" w:cs="Times New Roman"/>
          <w:i/>
          <w:sz w:val="24"/>
          <w:szCs w:val="24"/>
        </w:rPr>
        <w:t>Vida Simples</w:t>
      </w:r>
      <w:r>
        <w:rPr>
          <w:rFonts w:ascii="Times New Roman" w:hAnsi="Times New Roman" w:cs="Times New Roman"/>
          <w:sz w:val="24"/>
          <w:szCs w:val="24"/>
        </w:rPr>
        <w:t xml:space="preserve"> passíveis de gerar emotividade. Partimos da hipótese de que, por se tratar de uma revista temática e especializada sobre qualidade de vida na contemporaneidade, a referida publicação deverá apresentar um discurso de tom prescritivo e terapêutico, marcado por uma relação intimista e afetiva com os leitores. </w:t>
      </w:r>
    </w:p>
    <w:p w:rsidR="005F323D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Por pensarmos a revista em suas diferentes camadas modais – texto, ilustração, fotografia, diagramação – (RIBEIRO, 2013), vamos nos preocupar também com o tratamento gráfico/visual da publicação. Vale ponderar que embora o enfoque da pesquisa seja a revista enquanto produto</w:t>
      </w:r>
      <w:proofErr w:type="gramStart"/>
      <w:r>
        <w:rPr>
          <w:rFonts w:ascii="Times New Roman" w:hAnsi="Times New Roman" w:cs="Times New Roman"/>
          <w:sz w:val="24"/>
          <w:szCs w:val="24"/>
        </w:rPr>
        <w:t>, vamos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estudá-la à luz das teorias da análise do discurso, portanto, sem negligenciar as condições de produção e circulação dos textos. </w:t>
      </w:r>
    </w:p>
    <w:p w:rsidR="00610E24" w:rsidRDefault="005F323D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2E60">
        <w:rPr>
          <w:rFonts w:ascii="Times New Roman" w:hAnsi="Times New Roman" w:cs="Times New Roman"/>
          <w:sz w:val="24"/>
          <w:szCs w:val="24"/>
        </w:rPr>
        <w:t xml:space="preserve">Nossa investigação </w:t>
      </w:r>
      <w:r>
        <w:rPr>
          <w:rFonts w:ascii="Times New Roman" w:hAnsi="Times New Roman" w:cs="Times New Roman"/>
          <w:sz w:val="24"/>
          <w:szCs w:val="24"/>
        </w:rPr>
        <w:t xml:space="preserve">se enquadra dentro de uma abordagem qualitativa do problema, pois não estamos preocupados em determinar a frequências de itens lexicais que poderiam desencadear o que aqui chamamos “efeitos </w:t>
      </w:r>
      <w:proofErr w:type="spellStart"/>
      <w:r>
        <w:rPr>
          <w:rFonts w:ascii="Times New Roman" w:hAnsi="Times New Roman" w:cs="Times New Roman"/>
          <w:sz w:val="24"/>
          <w:szCs w:val="24"/>
        </w:rPr>
        <w:t>patêmicos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enfatizando a quantificação ou a descrição de dados numéricos e estatísticos. Afinal, de acordo com a análise do discurso, as palavras isoladas, em estado de dicionário, não desencadeiam emoções. Pelo contrário, investigaremos a importância de algumas estratégias discursivas na formação de um discurso de bem-estar e aconselhamento na revista, a partir de um olhar cuidadoso e crítico desses documentos, considerando as diferentes linguagens em seu contexto. </w:t>
      </w:r>
      <w:r w:rsidR="00610E24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Toc420777293"/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24" w:rsidRPr="005F323D" w:rsidRDefault="00610E24" w:rsidP="005F323D">
      <w:pPr>
        <w:pStyle w:val="PargrafodaLista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23D">
        <w:rPr>
          <w:rFonts w:ascii="Times New Roman" w:hAnsi="Times New Roman" w:cs="Times New Roman"/>
          <w:b/>
          <w:sz w:val="24"/>
          <w:szCs w:val="24"/>
        </w:rPr>
        <w:t>Desenho</w:t>
      </w:r>
      <w:bookmarkEnd w:id="1"/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respeito do desenho da pesquisa, esta se insere na categoria documental. Podemos dizer que a pesquisa documental busca compreender a realidade social não em sua interação imediata, mas de forma indireta, por meio da análise dos diferentes documentos produzidos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pelo homem. Em nosso caso, investigamos modos discursivos de apelo às emoções, exemplificados por meio de um recorte que privilegiará alguns exemplares recentes de </w:t>
      </w:r>
      <w:r w:rsidRPr="000E1BB5">
        <w:rPr>
          <w:rFonts w:ascii="Times New Roman" w:hAnsi="Times New Roman" w:cs="Times New Roman"/>
          <w:i/>
          <w:sz w:val="24"/>
          <w:szCs w:val="24"/>
        </w:rPr>
        <w:t>Vida Simples</w:t>
      </w:r>
      <w:r w:rsidR="00EE2E60">
        <w:rPr>
          <w:rFonts w:ascii="Times New Roman" w:hAnsi="Times New Roman" w:cs="Times New Roman"/>
          <w:sz w:val="24"/>
          <w:szCs w:val="24"/>
        </w:rPr>
        <w:t>, como veremos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Entendemos por documento todas as realizações produzidas pelo homem que se mostram como indícios de sua ação e podem revelar suas ideias, opiniões e formas de atuar (BRAVO, 1991). Em meio à multiplicidade e à diversidade de materiais que podem se enquadrar dentro dessa definição, classificamos nosso documento enquanto “fonte de primeira mão”: aqueles que não receberam ainda tratamento analítico, como documentos oficiais, reportagens de jornais e revistas, cartas, diários, filmes, entre outros (GIL </w:t>
      </w:r>
      <w:r w:rsidRPr="000E1BB5">
        <w:rPr>
          <w:rFonts w:ascii="Times New Roman" w:hAnsi="Times New Roman" w:cs="Times New Roman"/>
          <w:i/>
          <w:sz w:val="24"/>
          <w:szCs w:val="24"/>
        </w:rPr>
        <w:t>apud</w:t>
      </w:r>
      <w:r>
        <w:rPr>
          <w:rFonts w:ascii="Times New Roman" w:hAnsi="Times New Roman" w:cs="Times New Roman"/>
          <w:sz w:val="24"/>
          <w:szCs w:val="24"/>
        </w:rPr>
        <w:t xml:space="preserve"> PRODANOV; FREITAS, 2013). </w:t>
      </w:r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Vale esclarecer que, embora grande parte das pesquisas documentais se debruce sobre acervos e materiais antigos, fazer pesquisa documental não significa necessariamente promover uma investigação histórica do objeto. A pesquisa documental pode ser usada também para suscitar e investigar questões contemporâneas, o que é o nosso caso. </w:t>
      </w:r>
    </w:p>
    <w:p w:rsidR="005F323D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F323D" w:rsidRPr="005F323D" w:rsidRDefault="005F323D" w:rsidP="005F323D">
      <w:pPr>
        <w:pStyle w:val="PargrafodaLista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23D">
        <w:rPr>
          <w:rFonts w:ascii="Times New Roman" w:hAnsi="Times New Roman" w:cs="Times New Roman"/>
          <w:b/>
          <w:sz w:val="24"/>
          <w:szCs w:val="24"/>
        </w:rPr>
        <w:t>Natureza</w:t>
      </w:r>
    </w:p>
    <w:p w:rsidR="005F323D" w:rsidRPr="005F323D" w:rsidRDefault="005F323D" w:rsidP="005F323D">
      <w:pPr>
        <w:pStyle w:val="PargrafodaLista"/>
        <w:spacing w:after="0" w:line="36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85F" w:rsidRDefault="005F323D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10E24">
        <w:rPr>
          <w:rFonts w:ascii="Times New Roman" w:hAnsi="Times New Roman" w:cs="Times New Roman"/>
          <w:sz w:val="24"/>
          <w:szCs w:val="24"/>
        </w:rPr>
        <w:t xml:space="preserve">Quanto à natureza, nossa pesquisa pode ser classificada como básica: objetiva gerar conhecimentos novos úteis, sem aplicação prática prevista, que envolvem verdades e interesses universais (PRODANOV; FREITAS, 2013). Nossa pesquisa é descritiva, isto é, observa, registra, ordena e </w:t>
      </w:r>
      <w:proofErr w:type="gramStart"/>
      <w:r w:rsidR="00610E24">
        <w:rPr>
          <w:rFonts w:ascii="Times New Roman" w:hAnsi="Times New Roman" w:cs="Times New Roman"/>
          <w:sz w:val="24"/>
          <w:szCs w:val="24"/>
        </w:rPr>
        <w:t>analisa dados</w:t>
      </w:r>
      <w:proofErr w:type="gramEnd"/>
      <w:r w:rsidR="00610E24">
        <w:rPr>
          <w:rFonts w:ascii="Times New Roman" w:hAnsi="Times New Roman" w:cs="Times New Roman"/>
          <w:sz w:val="24"/>
          <w:szCs w:val="24"/>
        </w:rPr>
        <w:t xml:space="preserve">, sem manipulá-los. Não é nosso intuito formular algum tipo de intervenção sobre o fenômeno aqui investigado. </w:t>
      </w:r>
    </w:p>
    <w:p w:rsidR="0001485F" w:rsidRPr="0001485F" w:rsidRDefault="00610E24" w:rsidP="0001485F">
      <w:pPr>
        <w:spacing w:line="240" w:lineRule="auto"/>
        <w:ind w:left="2268"/>
        <w:jc w:val="both"/>
        <w:rPr>
          <w:rFonts w:ascii="Times New Roman" w:hAnsi="Times New Roman" w:cs="Times New Roman"/>
          <w:sz w:val="20"/>
          <w:szCs w:val="20"/>
        </w:rPr>
      </w:pPr>
      <w:r w:rsidRPr="0001485F">
        <w:rPr>
          <w:rFonts w:ascii="Times New Roman" w:hAnsi="Times New Roman" w:cs="Times New Roman"/>
          <w:sz w:val="20"/>
          <w:szCs w:val="20"/>
        </w:rPr>
        <w:t>Nas pesquisas descritivas, os fatos são observados, registrados, analisados, classificados e interpretados, sem que o pesquisador interfira sobre eles, ou seja, os fenômenos do mundo físico e humano são estudados, mas não s</w:t>
      </w:r>
      <w:r w:rsidR="0001485F" w:rsidRPr="0001485F">
        <w:rPr>
          <w:rFonts w:ascii="Times New Roman" w:hAnsi="Times New Roman" w:cs="Times New Roman"/>
          <w:sz w:val="20"/>
          <w:szCs w:val="20"/>
        </w:rPr>
        <w:t>ão manipulados pelo pesquisador</w:t>
      </w:r>
      <w:r w:rsidRPr="0001485F">
        <w:rPr>
          <w:rFonts w:ascii="Times New Roman" w:hAnsi="Times New Roman" w:cs="Times New Roman"/>
          <w:sz w:val="20"/>
          <w:szCs w:val="20"/>
        </w:rPr>
        <w:t xml:space="preserve">. </w:t>
      </w:r>
      <w:r w:rsidR="0001485F">
        <w:rPr>
          <w:rFonts w:ascii="Times New Roman" w:hAnsi="Times New Roman" w:cs="Times New Roman"/>
          <w:sz w:val="20"/>
          <w:szCs w:val="20"/>
        </w:rPr>
        <w:t>(PRODANOV, FREITAS, 2013, p. 52)</w:t>
      </w:r>
    </w:p>
    <w:p w:rsidR="00610E24" w:rsidRDefault="0001485F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10E24">
        <w:rPr>
          <w:rFonts w:ascii="Times New Roman" w:hAnsi="Times New Roman" w:cs="Times New Roman"/>
          <w:sz w:val="24"/>
          <w:szCs w:val="24"/>
        </w:rPr>
        <w:t>Outra característica marcante desse tipo de pesquisa é o uso padronizado de técnicas de coleta e análise de dados, como a observação sistemática do material, buscando estabelecer relações entre variáveis, e</w:t>
      </w:r>
      <w:r w:rsidR="00AC0512">
        <w:rPr>
          <w:rFonts w:ascii="Times New Roman" w:hAnsi="Times New Roman" w:cs="Times New Roman"/>
          <w:sz w:val="24"/>
          <w:szCs w:val="24"/>
        </w:rPr>
        <w:t xml:space="preserve"> a análise de conteúdo, </w:t>
      </w:r>
      <w:proofErr w:type="gramStart"/>
      <w:r w:rsidR="00AC0512">
        <w:rPr>
          <w:rFonts w:ascii="Times New Roman" w:hAnsi="Times New Roman" w:cs="Times New Roman"/>
          <w:sz w:val="24"/>
          <w:szCs w:val="24"/>
        </w:rPr>
        <w:t>a qual</w:t>
      </w:r>
      <w:r w:rsidR="00610E24">
        <w:rPr>
          <w:rFonts w:ascii="Times New Roman" w:hAnsi="Times New Roman" w:cs="Times New Roman"/>
          <w:sz w:val="24"/>
          <w:szCs w:val="24"/>
        </w:rPr>
        <w:t xml:space="preserve"> faremos</w:t>
      </w:r>
      <w:proofErr w:type="gramEnd"/>
      <w:r w:rsidR="00610E24">
        <w:rPr>
          <w:rFonts w:ascii="Times New Roman" w:hAnsi="Times New Roman" w:cs="Times New Roman"/>
          <w:sz w:val="24"/>
          <w:szCs w:val="24"/>
        </w:rPr>
        <w:t xml:space="preserve"> uso. </w:t>
      </w:r>
    </w:p>
    <w:p w:rsidR="0001485F" w:rsidRPr="0001485F" w:rsidRDefault="00610E24" w:rsidP="000148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bookmarkStart w:id="2" w:name="_Toc420777294"/>
    </w:p>
    <w:p w:rsidR="00610E24" w:rsidRPr="00EE2E60" w:rsidRDefault="00EE2E60" w:rsidP="00EE2E60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 </w:t>
      </w:r>
      <w:r w:rsidR="00610E24" w:rsidRPr="00EE2E60">
        <w:rPr>
          <w:rFonts w:ascii="Times New Roman" w:hAnsi="Times New Roman" w:cs="Times New Roman"/>
          <w:b/>
          <w:sz w:val="24"/>
          <w:szCs w:val="24"/>
        </w:rPr>
        <w:t xml:space="preserve">Coleda de dados </w:t>
      </w:r>
      <w:bookmarkEnd w:id="2"/>
    </w:p>
    <w:p w:rsidR="00610E24" w:rsidRDefault="00610E24" w:rsidP="00610E24">
      <w:pPr>
        <w:pStyle w:val="Default"/>
        <w:spacing w:line="360" w:lineRule="auto"/>
        <w:ind w:left="720"/>
        <w:jc w:val="both"/>
        <w:outlineLvl w:val="1"/>
        <w:rPr>
          <w:b/>
        </w:rPr>
      </w:pPr>
    </w:p>
    <w:p w:rsidR="00610E24" w:rsidRPr="00B30E74" w:rsidRDefault="0001485F" w:rsidP="00610E24">
      <w:pPr>
        <w:pStyle w:val="Default"/>
        <w:spacing w:line="360" w:lineRule="auto"/>
        <w:jc w:val="both"/>
      </w:pPr>
      <w:r>
        <w:tab/>
      </w:r>
      <w:r w:rsidR="00610E24" w:rsidRPr="00B30E74">
        <w:rPr>
          <w:i/>
        </w:rPr>
        <w:t>Vida Simples</w:t>
      </w:r>
      <w:r w:rsidR="00610E24">
        <w:t xml:space="preserve"> é uma revista de circulação mensal. Portanto, a coleta do material acompanhou esses ciclos. Foram adquiridas revistas desde junho de 2014 (ed.</w:t>
      </w:r>
      <w:r w:rsidR="00123D22">
        <w:t xml:space="preserve"> 145) até junho de 2015 (ed. 160</w:t>
      </w:r>
      <w:r w:rsidR="00610E24">
        <w:t>), totalizando 13 exemplares.</w:t>
      </w:r>
    </w:p>
    <w:p w:rsidR="0048525A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Entretanto, durante o período da coleta houve uma importante mudança: a revista deixou de ser um produto da </w:t>
      </w:r>
      <w:proofErr w:type="gramStart"/>
      <w:r>
        <w:rPr>
          <w:rFonts w:ascii="Times New Roman" w:hAnsi="Times New Roman" w:cs="Times New Roman"/>
          <w:sz w:val="24"/>
          <w:szCs w:val="24"/>
        </w:rPr>
        <w:t>Editora Abril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passou para a </w:t>
      </w:r>
      <w:r w:rsidR="00123D22">
        <w:rPr>
          <w:rFonts w:ascii="Times New Roman" w:hAnsi="Times New Roman" w:cs="Times New Roman"/>
          <w:sz w:val="24"/>
          <w:szCs w:val="24"/>
        </w:rPr>
        <w:t xml:space="preserve">Editora </w:t>
      </w:r>
      <w:r>
        <w:rPr>
          <w:rFonts w:ascii="Times New Roman" w:hAnsi="Times New Roman" w:cs="Times New Roman"/>
          <w:sz w:val="24"/>
          <w:szCs w:val="24"/>
        </w:rPr>
        <w:t xml:space="preserve">Caras, a partir de novembro do ano passado (ed. 152). Para anular quaisquer possibilidades de que essa troca interfira na proposta e no modo de apresentação da publicação aos seus leitores, afinal, são empresas de comunicação distintas que seguem diretrizes editoriais próprias, optamos por eliminar da análise os exemplares anteriores à edição 152. </w:t>
      </w:r>
      <w:r w:rsidR="00123D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o final, o </w:t>
      </w:r>
      <w:r w:rsidRPr="00514443">
        <w:rPr>
          <w:rFonts w:ascii="Times New Roman" w:hAnsi="Times New Roman" w:cs="Times New Roman"/>
          <w:i/>
          <w:sz w:val="24"/>
          <w:szCs w:val="24"/>
        </w:rPr>
        <w:t xml:space="preserve">corpus </w:t>
      </w:r>
      <w:r>
        <w:rPr>
          <w:rFonts w:ascii="Times New Roman" w:hAnsi="Times New Roman" w:cs="Times New Roman"/>
          <w:sz w:val="24"/>
          <w:szCs w:val="24"/>
        </w:rPr>
        <w:t>se delimitou a oito exemplares (ed. 153</w:t>
      </w:r>
      <w:r w:rsidR="0048525A">
        <w:rPr>
          <w:rFonts w:ascii="Times New Roman" w:hAnsi="Times New Roman" w:cs="Times New Roman"/>
          <w:sz w:val="24"/>
          <w:szCs w:val="24"/>
        </w:rPr>
        <w:t>, 154, 155, 156, 157, 158, 159</w:t>
      </w:r>
      <w:r>
        <w:rPr>
          <w:rFonts w:ascii="Times New Roman" w:hAnsi="Times New Roman" w:cs="Times New Roman"/>
          <w:sz w:val="24"/>
          <w:szCs w:val="24"/>
        </w:rPr>
        <w:t xml:space="preserve"> a 160). </w:t>
      </w:r>
    </w:p>
    <w:p w:rsidR="0001485F" w:rsidRDefault="0048525A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Como esclarece Morais (1999), em pesquisas cuja metodologia é </w:t>
      </w:r>
      <w:r w:rsidR="00123D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análise de conteúdo, não existem limites lógicos para delimitar o contexto de análise, uma vez que “não é possível incluir todas as condições </w:t>
      </w:r>
      <w:r w:rsidR="00123D22">
        <w:rPr>
          <w:rFonts w:ascii="Times New Roman" w:hAnsi="Times New Roman" w:cs="Times New Roman"/>
          <w:sz w:val="24"/>
          <w:szCs w:val="24"/>
        </w:rPr>
        <w:t>que coexistem, procedem ou sucedem a mensagem, no tempo e no espaço”. Nesse caso, a delimitação do contexto irá depender do pesquisador e dos objetivos propostos pela investigação. Em nossa pesquisa, c</w:t>
      </w:r>
      <w:r w:rsidR="00610E24">
        <w:rPr>
          <w:rFonts w:ascii="Times New Roman" w:hAnsi="Times New Roman" w:cs="Times New Roman"/>
          <w:sz w:val="24"/>
          <w:szCs w:val="24"/>
        </w:rPr>
        <w:t xml:space="preserve">onsideramos que a quantidade </w:t>
      </w:r>
      <w:r w:rsidR="00123D2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123D22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="00123D22">
        <w:rPr>
          <w:rFonts w:ascii="Times New Roman" w:hAnsi="Times New Roman" w:cs="Times New Roman"/>
          <w:sz w:val="24"/>
          <w:szCs w:val="24"/>
        </w:rPr>
        <w:t xml:space="preserve"> exemplares) </w:t>
      </w:r>
      <w:r w:rsidR="00610E24">
        <w:rPr>
          <w:rFonts w:ascii="Times New Roman" w:hAnsi="Times New Roman" w:cs="Times New Roman"/>
          <w:sz w:val="24"/>
          <w:szCs w:val="24"/>
        </w:rPr>
        <w:t xml:space="preserve">é suficiente para observarmos recorrências e contrastarmos as edições em busca das estratégias discursivas que apelam à dimensão </w:t>
      </w:r>
      <w:proofErr w:type="spellStart"/>
      <w:r w:rsidR="00610E24">
        <w:rPr>
          <w:rFonts w:ascii="Times New Roman" w:hAnsi="Times New Roman" w:cs="Times New Roman"/>
          <w:sz w:val="24"/>
          <w:szCs w:val="24"/>
        </w:rPr>
        <w:t>patêmica</w:t>
      </w:r>
      <w:proofErr w:type="spellEnd"/>
      <w:r w:rsidR="00610E24">
        <w:rPr>
          <w:rFonts w:ascii="Times New Roman" w:hAnsi="Times New Roman" w:cs="Times New Roman"/>
          <w:sz w:val="24"/>
          <w:szCs w:val="24"/>
        </w:rPr>
        <w:t xml:space="preserve"> na publicação. </w:t>
      </w:r>
    </w:p>
    <w:p w:rsidR="0001485F" w:rsidRDefault="0001485F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24" w:rsidRDefault="00EE2E60" w:rsidP="00610E2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1.4 </w:t>
      </w:r>
      <w:r w:rsidR="0001485F" w:rsidRPr="0001485F">
        <w:rPr>
          <w:rFonts w:ascii="Times New Roman" w:hAnsi="Times New Roman" w:cs="Times New Roman"/>
          <w:b/>
          <w:sz w:val="24"/>
          <w:szCs w:val="24"/>
        </w:rPr>
        <w:t>Recorte</w:t>
      </w:r>
      <w:r w:rsidR="00610E24" w:rsidRPr="000148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485F" w:rsidRPr="0001485F" w:rsidRDefault="0001485F" w:rsidP="00610E2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Em termos da composição editorial de </w:t>
      </w:r>
      <w:r w:rsidRPr="00CD022F">
        <w:rPr>
          <w:rFonts w:ascii="Times New Roman" w:hAnsi="Times New Roman" w:cs="Times New Roman"/>
          <w:i/>
          <w:sz w:val="24"/>
          <w:szCs w:val="24"/>
        </w:rPr>
        <w:t>Vida Simples</w:t>
      </w:r>
      <w:r>
        <w:rPr>
          <w:rFonts w:ascii="Times New Roman" w:hAnsi="Times New Roman" w:cs="Times New Roman"/>
          <w:sz w:val="24"/>
          <w:szCs w:val="24"/>
        </w:rPr>
        <w:t>, optamos por analisar as seguintes partes ou seções:</w:t>
      </w:r>
    </w:p>
    <w:p w:rsidR="00610E24" w:rsidRDefault="00610E24" w:rsidP="00610E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24" w:rsidRDefault="00610E24" w:rsidP="00610E2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267">
        <w:rPr>
          <w:rFonts w:ascii="Times New Roman" w:hAnsi="Times New Roman" w:cs="Times New Roman"/>
          <w:sz w:val="24"/>
          <w:szCs w:val="24"/>
        </w:rPr>
        <w:t>Capa: por ser a “porta de entrada” da publicação, deve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3267">
        <w:rPr>
          <w:rFonts w:ascii="Times New Roman" w:hAnsi="Times New Roman" w:cs="Times New Roman"/>
          <w:sz w:val="24"/>
          <w:szCs w:val="24"/>
        </w:rPr>
        <w:t xml:space="preserve">ser atrativa e seduzir os leitores para sua compra e consumo. Aqui ficam evidenciadas algumas das principais estratégias de dramatização no impresso, sinalizadas por </w:t>
      </w:r>
      <w:proofErr w:type="spellStart"/>
      <w:r w:rsidRPr="00433267">
        <w:rPr>
          <w:rFonts w:ascii="Times New Roman" w:hAnsi="Times New Roman" w:cs="Times New Roman"/>
          <w:sz w:val="24"/>
          <w:szCs w:val="24"/>
        </w:rPr>
        <w:t>Charaudeau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(2006)</w:t>
      </w:r>
      <w:r w:rsidRPr="0043326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33267">
        <w:rPr>
          <w:rFonts w:ascii="Times New Roman" w:hAnsi="Times New Roman" w:cs="Times New Roman"/>
          <w:sz w:val="24"/>
          <w:szCs w:val="24"/>
        </w:rPr>
        <w:t>a titulagem</w:t>
      </w:r>
      <w:proofErr w:type="gramEnd"/>
      <w:r w:rsidRPr="00433267">
        <w:rPr>
          <w:rFonts w:ascii="Times New Roman" w:hAnsi="Times New Roman" w:cs="Times New Roman"/>
          <w:sz w:val="24"/>
          <w:szCs w:val="24"/>
        </w:rPr>
        <w:t xml:space="preserve"> e o poder de evocação da imagem</w:t>
      </w:r>
      <w:r w:rsidR="004D2CE0">
        <w:rPr>
          <w:rFonts w:ascii="Times New Roman" w:hAnsi="Times New Roman" w:cs="Times New Roman"/>
          <w:sz w:val="24"/>
          <w:szCs w:val="24"/>
        </w:rPr>
        <w:t xml:space="preserve"> (p. 259-260)</w:t>
      </w:r>
      <w:r w:rsidRPr="0043326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Para</w:t>
      </w:r>
      <w:r w:rsidRPr="00433267">
        <w:rPr>
          <w:rFonts w:ascii="Times New Roman" w:hAnsi="Times New Roman" w:cs="Times New Roman"/>
          <w:sz w:val="24"/>
          <w:szCs w:val="24"/>
        </w:rPr>
        <w:t xml:space="preserve"> o analista do discurso, “o jogo de títulos produz um efeito de ofuscamento racional”</w:t>
      </w:r>
      <w:r w:rsidR="004D2CE0">
        <w:rPr>
          <w:rFonts w:ascii="Times New Roman" w:hAnsi="Times New Roman" w:cs="Times New Roman"/>
          <w:sz w:val="24"/>
          <w:szCs w:val="24"/>
        </w:rPr>
        <w:t>.</w:t>
      </w:r>
      <w:r w:rsidRPr="004332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433267">
        <w:rPr>
          <w:rFonts w:ascii="Times New Roman" w:hAnsi="Times New Roman" w:cs="Times New Roman"/>
          <w:sz w:val="24"/>
          <w:szCs w:val="24"/>
        </w:rPr>
        <w:t xml:space="preserve"> pesquisador </w:t>
      </w:r>
      <w:r>
        <w:rPr>
          <w:rFonts w:ascii="Times New Roman" w:hAnsi="Times New Roman" w:cs="Times New Roman"/>
          <w:sz w:val="24"/>
          <w:szCs w:val="24"/>
        </w:rPr>
        <w:t>também afirma que</w:t>
      </w:r>
      <w:r w:rsidRPr="00433267">
        <w:rPr>
          <w:rFonts w:ascii="Times New Roman" w:hAnsi="Times New Roman" w:cs="Times New Roman"/>
          <w:sz w:val="24"/>
          <w:szCs w:val="24"/>
        </w:rPr>
        <w:t xml:space="preserve"> interpretamos e sentimos </w:t>
      </w:r>
      <w:r>
        <w:rPr>
          <w:rFonts w:ascii="Times New Roman" w:hAnsi="Times New Roman" w:cs="Times New Roman"/>
          <w:sz w:val="24"/>
          <w:szCs w:val="24"/>
        </w:rPr>
        <w:t xml:space="preserve">as imagens </w:t>
      </w:r>
      <w:r w:rsidRPr="00433267">
        <w:rPr>
          <w:rFonts w:ascii="Times New Roman" w:hAnsi="Times New Roman" w:cs="Times New Roman"/>
          <w:sz w:val="24"/>
          <w:szCs w:val="24"/>
        </w:rPr>
        <w:t xml:space="preserve">através da maneira como elas </w:t>
      </w:r>
      <w:r>
        <w:rPr>
          <w:rFonts w:ascii="Times New Roman" w:hAnsi="Times New Roman" w:cs="Times New Roman"/>
          <w:sz w:val="24"/>
          <w:szCs w:val="24"/>
        </w:rPr>
        <w:t>são mostradas e através da nossa própria</w:t>
      </w:r>
      <w:r w:rsidR="004D2CE0">
        <w:rPr>
          <w:rFonts w:ascii="Times New Roman" w:hAnsi="Times New Roman" w:cs="Times New Roman"/>
          <w:sz w:val="24"/>
          <w:szCs w:val="24"/>
        </w:rPr>
        <w:t xml:space="preserve"> história individual e coletiva</w:t>
      </w:r>
      <w:r>
        <w:rPr>
          <w:rFonts w:ascii="Times New Roman" w:hAnsi="Times New Roman" w:cs="Times New Roman"/>
          <w:sz w:val="24"/>
          <w:szCs w:val="24"/>
        </w:rPr>
        <w:t xml:space="preserve"> (p. 260). Segundo </w:t>
      </w:r>
      <w:proofErr w:type="spellStart"/>
      <w:r>
        <w:rPr>
          <w:rFonts w:ascii="Times New Roman" w:hAnsi="Times New Roman" w:cs="Times New Roman"/>
          <w:sz w:val="24"/>
          <w:szCs w:val="24"/>
        </w:rPr>
        <w:t>Eliseo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Verón (2004), as modalidades de enunciação na capa são um fator crucial na construção do contrato de leitura do impresso: “A capa pode </w:t>
      </w:r>
      <w:r w:rsidRPr="00FC5CFF">
        <w:rPr>
          <w:rFonts w:ascii="Times New Roman" w:hAnsi="Times New Roman" w:cs="Times New Roman"/>
          <w:i/>
          <w:sz w:val="24"/>
          <w:szCs w:val="24"/>
        </w:rPr>
        <w:t>mostrar</w:t>
      </w:r>
      <w:r>
        <w:rPr>
          <w:rFonts w:ascii="Times New Roman" w:hAnsi="Times New Roman" w:cs="Times New Roman"/>
          <w:sz w:val="24"/>
          <w:szCs w:val="24"/>
        </w:rPr>
        <w:t xml:space="preserve"> de um modo simultaneamente condensado e preciso a natureza do contrato, ou então, ser mais ou menos incoerente com este último” (p.221, grifos do autor). Acreditamos que a </w:t>
      </w:r>
      <w:r w:rsidR="0001485F">
        <w:rPr>
          <w:rFonts w:ascii="Times New Roman" w:hAnsi="Times New Roman" w:cs="Times New Roman"/>
          <w:sz w:val="24"/>
          <w:szCs w:val="24"/>
        </w:rPr>
        <w:t>primeira página</w:t>
      </w:r>
      <w:r>
        <w:rPr>
          <w:rFonts w:ascii="Times New Roman" w:hAnsi="Times New Roman" w:cs="Times New Roman"/>
          <w:sz w:val="24"/>
          <w:szCs w:val="24"/>
        </w:rPr>
        <w:t xml:space="preserve"> pode ser considerada uma síntese da identidade editorial de </w:t>
      </w:r>
      <w:r w:rsidRPr="00837839">
        <w:rPr>
          <w:rFonts w:ascii="Times New Roman" w:hAnsi="Times New Roman" w:cs="Times New Roman"/>
          <w:i/>
          <w:sz w:val="24"/>
          <w:szCs w:val="24"/>
        </w:rPr>
        <w:t xml:space="preserve">Vida </w:t>
      </w:r>
      <w:r w:rsidRPr="00837839">
        <w:rPr>
          <w:rFonts w:ascii="Times New Roman" w:hAnsi="Times New Roman" w:cs="Times New Roman"/>
          <w:i/>
          <w:sz w:val="24"/>
          <w:szCs w:val="24"/>
        </w:rPr>
        <w:lastRenderedPageBreak/>
        <w:t>Simples</w:t>
      </w:r>
      <w:r w:rsidR="00AC05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Veremos também se os mesmos preceitos que orientam a </w:t>
      </w:r>
      <w:r w:rsidR="0001485F">
        <w:rPr>
          <w:rFonts w:ascii="Times New Roman" w:hAnsi="Times New Roman" w:cs="Times New Roman"/>
          <w:sz w:val="24"/>
          <w:szCs w:val="24"/>
        </w:rPr>
        <w:t xml:space="preserve">capa </w:t>
      </w:r>
      <w:r>
        <w:rPr>
          <w:rFonts w:ascii="Times New Roman" w:hAnsi="Times New Roman" w:cs="Times New Roman"/>
          <w:sz w:val="24"/>
          <w:szCs w:val="24"/>
        </w:rPr>
        <w:t>se en</w:t>
      </w:r>
      <w:r w:rsidR="004D2CE0">
        <w:rPr>
          <w:rFonts w:ascii="Times New Roman" w:hAnsi="Times New Roman" w:cs="Times New Roman"/>
          <w:sz w:val="24"/>
          <w:szCs w:val="24"/>
        </w:rPr>
        <w:t>contraram diluídos ao longo da publicação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5754" w:rsidRDefault="00C25754" w:rsidP="00610E2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24" w:rsidRDefault="00610E24" w:rsidP="00610E2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ACF">
        <w:rPr>
          <w:rFonts w:ascii="Times New Roman" w:hAnsi="Times New Roman" w:cs="Times New Roman"/>
          <w:sz w:val="24"/>
          <w:szCs w:val="24"/>
        </w:rPr>
        <w:t xml:space="preserve">Carta ao leitor: </w:t>
      </w:r>
      <w:r>
        <w:rPr>
          <w:rFonts w:ascii="Times New Roman" w:hAnsi="Times New Roman" w:cs="Times New Roman"/>
          <w:sz w:val="24"/>
          <w:szCs w:val="24"/>
        </w:rPr>
        <w:t>é um espaço</w:t>
      </w:r>
      <w:r w:rsidRPr="00250ACF">
        <w:rPr>
          <w:rFonts w:ascii="Times New Roman" w:hAnsi="Times New Roman" w:cs="Times New Roman"/>
          <w:sz w:val="24"/>
          <w:szCs w:val="24"/>
        </w:rPr>
        <w:t xml:space="preserve"> dentro </w:t>
      </w:r>
      <w:r>
        <w:rPr>
          <w:rFonts w:ascii="Times New Roman" w:hAnsi="Times New Roman" w:cs="Times New Roman"/>
          <w:sz w:val="24"/>
          <w:szCs w:val="24"/>
        </w:rPr>
        <w:t>da revista destinado</w:t>
      </w:r>
      <w:r w:rsidRPr="00250ACF">
        <w:rPr>
          <w:rFonts w:ascii="Times New Roman" w:hAnsi="Times New Roman" w:cs="Times New Roman"/>
          <w:sz w:val="24"/>
          <w:szCs w:val="24"/>
        </w:rPr>
        <w:t xml:space="preserve"> a apresentação do</w:t>
      </w:r>
      <w:r>
        <w:rPr>
          <w:rFonts w:ascii="Times New Roman" w:hAnsi="Times New Roman" w:cs="Times New Roman"/>
          <w:sz w:val="24"/>
          <w:szCs w:val="24"/>
        </w:rPr>
        <w:t xml:space="preserve"> conteúdo daquela edição, usado</w:t>
      </w:r>
      <w:r w:rsidRPr="00250ACF">
        <w:rPr>
          <w:rFonts w:ascii="Times New Roman" w:hAnsi="Times New Roman" w:cs="Times New Roman"/>
          <w:sz w:val="24"/>
          <w:szCs w:val="24"/>
        </w:rPr>
        <w:t xml:space="preserve"> para oferecer alguma explicação ou comentário sobre o processo de fabricação daquele produto</w:t>
      </w:r>
      <w:r>
        <w:rPr>
          <w:rFonts w:ascii="Times New Roman" w:hAnsi="Times New Roman" w:cs="Times New Roman"/>
          <w:sz w:val="24"/>
          <w:szCs w:val="24"/>
        </w:rPr>
        <w:t xml:space="preserve"> e, como o próprio nome já indica, para se reportar de forma mais </w:t>
      </w:r>
      <w:r w:rsidR="00AC0512">
        <w:rPr>
          <w:rFonts w:ascii="Times New Roman" w:hAnsi="Times New Roman" w:cs="Times New Roman"/>
          <w:sz w:val="24"/>
          <w:szCs w:val="24"/>
        </w:rPr>
        <w:t>direta ao público. Nessa seção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C0512">
        <w:rPr>
          <w:rFonts w:ascii="Times New Roman" w:hAnsi="Times New Roman" w:cs="Times New Roman"/>
          <w:sz w:val="24"/>
          <w:szCs w:val="24"/>
        </w:rPr>
        <w:t>constrói-se</w:t>
      </w:r>
      <w:r>
        <w:rPr>
          <w:rFonts w:ascii="Times New Roman" w:hAnsi="Times New Roman" w:cs="Times New Roman"/>
          <w:sz w:val="24"/>
          <w:szCs w:val="24"/>
        </w:rPr>
        <w:t xml:space="preserve"> um discurso de autorrepresentação e </w:t>
      </w:r>
      <w:r w:rsidRPr="00250ACF">
        <w:rPr>
          <w:rFonts w:ascii="Times New Roman" w:hAnsi="Times New Roman" w:cs="Times New Roman"/>
          <w:sz w:val="24"/>
          <w:szCs w:val="24"/>
        </w:rPr>
        <w:t>revela</w:t>
      </w:r>
      <w:r w:rsidR="00AC0512">
        <w:rPr>
          <w:rFonts w:ascii="Times New Roman" w:hAnsi="Times New Roman" w:cs="Times New Roman"/>
          <w:sz w:val="24"/>
          <w:szCs w:val="24"/>
        </w:rPr>
        <w:t>m-se</w:t>
      </w:r>
      <w:r w:rsidRPr="00250ACF">
        <w:rPr>
          <w:rFonts w:ascii="Times New Roman" w:hAnsi="Times New Roman" w:cs="Times New Roman"/>
          <w:sz w:val="24"/>
          <w:szCs w:val="24"/>
        </w:rPr>
        <w:t xml:space="preserve"> aspectos interessantes sobre a </w:t>
      </w:r>
      <w:proofErr w:type="spellStart"/>
      <w:r w:rsidRPr="00250ACF">
        <w:rPr>
          <w:rFonts w:ascii="Times New Roman" w:hAnsi="Times New Roman" w:cs="Times New Roman"/>
          <w:sz w:val="24"/>
          <w:szCs w:val="24"/>
        </w:rPr>
        <w:t>processualidade</w:t>
      </w:r>
      <w:proofErr w:type="spellEnd"/>
      <w:r w:rsidRPr="00250ACF">
        <w:rPr>
          <w:rFonts w:ascii="Times New Roman" w:hAnsi="Times New Roman" w:cs="Times New Roman"/>
          <w:sz w:val="24"/>
          <w:szCs w:val="24"/>
        </w:rPr>
        <w:t xml:space="preserve"> e a identidade do veículo</w:t>
      </w:r>
      <w:r>
        <w:rPr>
          <w:rFonts w:ascii="Times New Roman" w:hAnsi="Times New Roman" w:cs="Times New Roman"/>
          <w:sz w:val="24"/>
          <w:szCs w:val="24"/>
        </w:rPr>
        <w:t>, s</w:t>
      </w:r>
      <w:r w:rsidRPr="00250ACF">
        <w:rPr>
          <w:rFonts w:ascii="Times New Roman" w:hAnsi="Times New Roman" w:cs="Times New Roman"/>
          <w:sz w:val="24"/>
          <w:szCs w:val="24"/>
        </w:rPr>
        <w:t xml:space="preserve">egundo </w:t>
      </w:r>
      <w:r>
        <w:rPr>
          <w:rFonts w:ascii="Times New Roman" w:hAnsi="Times New Roman" w:cs="Times New Roman"/>
          <w:sz w:val="24"/>
          <w:szCs w:val="24"/>
        </w:rPr>
        <w:t>aponta</w:t>
      </w:r>
      <w:r w:rsidRPr="00250ACF">
        <w:rPr>
          <w:rFonts w:ascii="Times New Roman" w:hAnsi="Times New Roman" w:cs="Times New Roman"/>
          <w:sz w:val="24"/>
          <w:szCs w:val="24"/>
        </w:rPr>
        <w:t xml:space="preserve"> Frederico Tavares (2013)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50A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 acordo com o jornalista e pesquisador, </w:t>
      </w:r>
      <w:r w:rsidRPr="00250ACF">
        <w:rPr>
          <w:rFonts w:ascii="Times New Roman" w:hAnsi="Times New Roman" w:cs="Times New Roman"/>
          <w:sz w:val="24"/>
          <w:szCs w:val="24"/>
        </w:rPr>
        <w:t xml:space="preserve">existe uma </w:t>
      </w:r>
      <w:proofErr w:type="spellStart"/>
      <w:r w:rsidRPr="00250ACF">
        <w:rPr>
          <w:rFonts w:ascii="Times New Roman" w:hAnsi="Times New Roman" w:cs="Times New Roman"/>
          <w:sz w:val="24"/>
          <w:szCs w:val="24"/>
        </w:rPr>
        <w:t>autorreferencialidade</w:t>
      </w:r>
      <w:proofErr w:type="spellEnd"/>
      <w:r w:rsidRPr="00250ACF">
        <w:rPr>
          <w:rFonts w:ascii="Times New Roman" w:hAnsi="Times New Roman" w:cs="Times New Roman"/>
          <w:sz w:val="24"/>
          <w:szCs w:val="24"/>
        </w:rPr>
        <w:t xml:space="preserve"> no e do processo produtivo textual – princípio que também é chamado por ele de </w:t>
      </w:r>
      <w:proofErr w:type="spellStart"/>
      <w:r w:rsidRPr="00250ACF">
        <w:rPr>
          <w:rFonts w:ascii="Times New Roman" w:hAnsi="Times New Roman" w:cs="Times New Roman"/>
          <w:i/>
          <w:iCs/>
          <w:sz w:val="24"/>
          <w:szCs w:val="24"/>
        </w:rPr>
        <w:t>ethos</w:t>
      </w:r>
      <w:proofErr w:type="spellEnd"/>
      <w:r w:rsidRPr="00250ACF">
        <w:rPr>
          <w:rFonts w:ascii="Times New Roman" w:hAnsi="Times New Roman" w:cs="Times New Roman"/>
          <w:i/>
          <w:iCs/>
          <w:sz w:val="24"/>
          <w:szCs w:val="24"/>
        </w:rPr>
        <w:t xml:space="preserve"> pré-discursivo</w:t>
      </w:r>
      <w:r>
        <w:rPr>
          <w:rFonts w:ascii="Times New Roman" w:hAnsi="Times New Roman" w:cs="Times New Roman"/>
          <w:sz w:val="24"/>
          <w:szCs w:val="24"/>
        </w:rPr>
        <w:t xml:space="preserve">, o que se mostraria de maneira explícita na carta ao leitor. </w:t>
      </w:r>
      <w:r w:rsidR="00AC0512">
        <w:rPr>
          <w:rFonts w:ascii="Times New Roman" w:hAnsi="Times New Roman" w:cs="Times New Roman"/>
          <w:sz w:val="24"/>
          <w:szCs w:val="24"/>
        </w:rPr>
        <w:t>Portanto, ao analisá-la</w:t>
      </w:r>
      <w:r>
        <w:rPr>
          <w:rFonts w:ascii="Times New Roman" w:hAnsi="Times New Roman" w:cs="Times New Roman"/>
          <w:sz w:val="24"/>
          <w:szCs w:val="24"/>
        </w:rPr>
        <w:t xml:space="preserve">, teremos fortes indícios da imagem que a revista constrói de si mesma, seu </w:t>
      </w:r>
      <w:proofErr w:type="spellStart"/>
      <w:r w:rsidRPr="00A83C6D">
        <w:rPr>
          <w:rFonts w:ascii="Times New Roman" w:hAnsi="Times New Roman" w:cs="Times New Roman"/>
          <w:i/>
          <w:sz w:val="24"/>
          <w:szCs w:val="24"/>
        </w:rPr>
        <w:t>ethos</w:t>
      </w:r>
      <w:proofErr w:type="spellEnd"/>
      <w:r>
        <w:rPr>
          <w:rFonts w:ascii="Times New Roman" w:hAnsi="Times New Roman" w:cs="Times New Roman"/>
          <w:sz w:val="24"/>
          <w:szCs w:val="24"/>
        </w:rPr>
        <w:t>, o modo pelo qual ela se apresenta e se legitima diante dos leitores (MAINGUENEAU, 2005).</w:t>
      </w:r>
    </w:p>
    <w:p w:rsidR="00610E24" w:rsidRDefault="00610E24" w:rsidP="00610E24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24" w:rsidRDefault="00610E24" w:rsidP="00610E2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E06">
        <w:rPr>
          <w:rFonts w:ascii="Times New Roman" w:hAnsi="Times New Roman" w:cs="Times New Roman"/>
          <w:sz w:val="24"/>
          <w:szCs w:val="24"/>
        </w:rPr>
        <w:t xml:space="preserve">Matérias de capa: </w:t>
      </w:r>
      <w:r>
        <w:rPr>
          <w:rFonts w:ascii="Times New Roman" w:hAnsi="Times New Roman" w:cs="Times New Roman"/>
          <w:sz w:val="24"/>
          <w:szCs w:val="24"/>
        </w:rPr>
        <w:t>é a matéria mais importante d</w:t>
      </w:r>
      <w:r w:rsidRPr="004D1E06">
        <w:rPr>
          <w:rFonts w:ascii="Times New Roman" w:hAnsi="Times New Roman" w:cs="Times New Roman"/>
          <w:sz w:val="24"/>
          <w:szCs w:val="24"/>
        </w:rPr>
        <w:t>a edição, a qual a ilustração da capa se refere. É geralmente o conteúdo que dispõe de maior número de páginas. Por seu destaque e extensão, a matéria de capa merece atenção em nossa análise, devendo nos permitir constatar modos de organização textual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70DE">
        <w:rPr>
          <w:rFonts w:ascii="Times New Roman" w:hAnsi="Times New Roman" w:cs="Times New Roman"/>
          <w:sz w:val="24"/>
          <w:szCs w:val="24"/>
        </w:rPr>
        <w:t xml:space="preserve">(CHARAUDEAU, 2010) </w:t>
      </w:r>
      <w:r>
        <w:rPr>
          <w:rFonts w:ascii="Times New Roman" w:hAnsi="Times New Roman" w:cs="Times New Roman"/>
          <w:sz w:val="24"/>
          <w:szCs w:val="24"/>
        </w:rPr>
        <w:t xml:space="preserve">e desencadeadores linguísticos de </w:t>
      </w:r>
      <w:proofErr w:type="spellStart"/>
      <w:r w:rsidRPr="00C11048">
        <w:rPr>
          <w:rFonts w:ascii="Times New Roman" w:hAnsi="Times New Roman" w:cs="Times New Roman"/>
          <w:i/>
          <w:sz w:val="24"/>
          <w:szCs w:val="24"/>
        </w:rPr>
        <w:t>patemização</w:t>
      </w:r>
      <w:proofErr w:type="spellEnd"/>
      <w:r w:rsidR="00AE70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70DE">
        <w:rPr>
          <w:rFonts w:ascii="Times New Roman" w:hAnsi="Times New Roman" w:cs="Times New Roman"/>
          <w:sz w:val="24"/>
          <w:szCs w:val="24"/>
        </w:rPr>
        <w:t>(PLANTIN, 2010)</w:t>
      </w:r>
      <w:r>
        <w:rPr>
          <w:rFonts w:ascii="Times New Roman" w:hAnsi="Times New Roman" w:cs="Times New Roman"/>
          <w:sz w:val="24"/>
          <w:szCs w:val="24"/>
        </w:rPr>
        <w:t>. Acreditamos que as</w:t>
      </w:r>
      <w:r w:rsidR="00AE70DE">
        <w:rPr>
          <w:rFonts w:ascii="Times New Roman" w:hAnsi="Times New Roman" w:cs="Times New Roman"/>
          <w:sz w:val="24"/>
          <w:szCs w:val="24"/>
        </w:rPr>
        <w:t xml:space="preserve"> matérias de capa também nos permitirão observar, com maior profundidade,</w:t>
      </w:r>
      <w:r>
        <w:rPr>
          <w:rFonts w:ascii="Times New Roman" w:hAnsi="Times New Roman" w:cs="Times New Roman"/>
          <w:sz w:val="24"/>
          <w:szCs w:val="24"/>
        </w:rPr>
        <w:t xml:space="preserve"> indícios sobre uma “enunciação pedagógica” (VERÓN, 2004, p.223). Segundo Verón, o enunciador pode se valer de jogos de linguagem para construir cumplicidade e interpelar diretamente ao seu destinatário, pré-ordenar o universo do discurso na intenção do leitor, guiá-lo, responder perguntas, explicar, informá-lo. “A presença ou a ausência de uma posição de enunciação pedagógica, é claro, não é só uma questão de linguagem, passa também pelos modos de tratamento da imagem” (VERÓN, 2004, p.229). Motivo pelo qual, novamente, reforçamos nosso intuito em estudar </w:t>
      </w:r>
      <w:r w:rsidR="004D2CE0">
        <w:rPr>
          <w:rFonts w:ascii="Times New Roman" w:hAnsi="Times New Roman" w:cs="Times New Roman"/>
          <w:sz w:val="24"/>
          <w:szCs w:val="24"/>
        </w:rPr>
        <w:t xml:space="preserve">recursos </w:t>
      </w:r>
      <w:r>
        <w:rPr>
          <w:rFonts w:ascii="Times New Roman" w:hAnsi="Times New Roman" w:cs="Times New Roman"/>
          <w:sz w:val="24"/>
          <w:szCs w:val="24"/>
        </w:rPr>
        <w:t xml:space="preserve">verbais 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não-verbais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 revista. </w:t>
      </w:r>
    </w:p>
    <w:p w:rsidR="00AE70DE" w:rsidRPr="00AE70DE" w:rsidRDefault="00AE70DE" w:rsidP="00AE70DE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AE70DE" w:rsidRDefault="00D90CB2" w:rsidP="00AE70D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1.5 </w:t>
      </w:r>
      <w:r w:rsidR="00AE70DE" w:rsidRPr="00AE70DE">
        <w:rPr>
          <w:rFonts w:ascii="Times New Roman" w:hAnsi="Times New Roman" w:cs="Times New Roman"/>
          <w:b/>
          <w:sz w:val="24"/>
          <w:szCs w:val="24"/>
        </w:rPr>
        <w:t>Análise</w:t>
      </w:r>
      <w:proofErr w:type="gramEnd"/>
      <w:r w:rsidR="00AE70DE" w:rsidRPr="00AE70DE">
        <w:rPr>
          <w:rFonts w:ascii="Times New Roman" w:hAnsi="Times New Roman" w:cs="Times New Roman"/>
          <w:b/>
          <w:sz w:val="24"/>
          <w:szCs w:val="24"/>
        </w:rPr>
        <w:t xml:space="preserve"> dos dados</w:t>
      </w:r>
    </w:p>
    <w:p w:rsidR="00AE70DE" w:rsidRPr="00AE70DE" w:rsidRDefault="00AE70DE" w:rsidP="00AE70D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323D" w:rsidRDefault="00AE70DE" w:rsidP="005F323D">
      <w:pPr>
        <w:pStyle w:val="Default"/>
        <w:spacing w:line="360" w:lineRule="auto"/>
        <w:jc w:val="both"/>
        <w:rPr>
          <w:sz w:val="23"/>
          <w:szCs w:val="23"/>
        </w:rPr>
      </w:pPr>
      <w:r>
        <w:lastRenderedPageBreak/>
        <w:tab/>
      </w:r>
      <w:r w:rsidR="005F323D">
        <w:t xml:space="preserve">Como já visto em nossa fundamentação teórica, </w:t>
      </w:r>
      <w:r w:rsidR="005F323D" w:rsidRPr="00924305">
        <w:rPr>
          <w:sz w:val="23"/>
          <w:szCs w:val="23"/>
        </w:rPr>
        <w:t xml:space="preserve">Christian </w:t>
      </w:r>
      <w:proofErr w:type="spellStart"/>
      <w:r w:rsidR="005F323D" w:rsidRPr="00924305">
        <w:rPr>
          <w:sz w:val="23"/>
          <w:szCs w:val="23"/>
        </w:rPr>
        <w:t>Plantin</w:t>
      </w:r>
      <w:proofErr w:type="spellEnd"/>
      <w:r w:rsidR="005F323D" w:rsidRPr="00924305">
        <w:rPr>
          <w:sz w:val="23"/>
          <w:szCs w:val="23"/>
        </w:rPr>
        <w:t xml:space="preserve"> (2010) afirma que é</w:t>
      </w:r>
      <w:r w:rsidR="005F323D">
        <w:rPr>
          <w:sz w:val="23"/>
          <w:szCs w:val="23"/>
        </w:rPr>
        <w:t xml:space="preserve"> possível “argumentar emoções”. Em outras palavras, um discurso pode ser orientado pelo locutor, por meio de dados linguísticos, em direção à expressão de um afeto e com o propósito de sensibilizar ou persuadir o interlocutor. </w:t>
      </w:r>
      <w:proofErr w:type="spellStart"/>
      <w:r w:rsidR="005F323D">
        <w:rPr>
          <w:sz w:val="23"/>
          <w:szCs w:val="23"/>
        </w:rPr>
        <w:t>Plantin</w:t>
      </w:r>
      <w:proofErr w:type="spellEnd"/>
      <w:r w:rsidR="005F323D">
        <w:rPr>
          <w:sz w:val="23"/>
          <w:szCs w:val="23"/>
        </w:rPr>
        <w:t xml:space="preserve"> reflete sobre uma técnica de análise que permita certa determinação das emoções ditas e o modo como os indícios linguísticos de emoção </w:t>
      </w:r>
      <w:proofErr w:type="spellStart"/>
      <w:r w:rsidR="005F323D">
        <w:rPr>
          <w:sz w:val="23"/>
          <w:szCs w:val="23"/>
        </w:rPr>
        <w:t>experenciada</w:t>
      </w:r>
      <w:proofErr w:type="spellEnd"/>
      <w:r w:rsidR="005F323D">
        <w:rPr>
          <w:sz w:val="23"/>
          <w:szCs w:val="23"/>
        </w:rPr>
        <w:t xml:space="preserve"> pelo sujeito atuam como marcadores de orientação emocional ou traços argumentativos emocionais – também chamados de </w:t>
      </w:r>
      <w:proofErr w:type="spellStart"/>
      <w:r w:rsidR="005F323D">
        <w:rPr>
          <w:sz w:val="23"/>
          <w:szCs w:val="23"/>
        </w:rPr>
        <w:t>patemas</w:t>
      </w:r>
      <w:proofErr w:type="spellEnd"/>
      <w:r w:rsidR="005F323D">
        <w:rPr>
          <w:sz w:val="23"/>
          <w:szCs w:val="23"/>
        </w:rPr>
        <w:t xml:space="preserve">. Sobre os instrumentos retóricos do </w:t>
      </w:r>
      <w:proofErr w:type="spellStart"/>
      <w:r w:rsidR="005F323D" w:rsidRPr="00791C6A">
        <w:rPr>
          <w:i/>
          <w:sz w:val="23"/>
          <w:szCs w:val="23"/>
        </w:rPr>
        <w:t>pathos</w:t>
      </w:r>
      <w:proofErr w:type="spellEnd"/>
      <w:r w:rsidR="005F323D">
        <w:rPr>
          <w:sz w:val="23"/>
          <w:szCs w:val="23"/>
        </w:rPr>
        <w:t xml:space="preserve">, encontramos o seguinte quadro (Quadro </w:t>
      </w:r>
      <w:proofErr w:type="gramStart"/>
      <w:r w:rsidR="005F323D">
        <w:rPr>
          <w:sz w:val="23"/>
          <w:szCs w:val="23"/>
        </w:rPr>
        <w:t>1</w:t>
      </w:r>
      <w:proofErr w:type="gramEnd"/>
      <w:r w:rsidR="005F323D">
        <w:rPr>
          <w:sz w:val="23"/>
          <w:szCs w:val="23"/>
        </w:rPr>
        <w:t xml:space="preserve">) referenciado por </w:t>
      </w:r>
      <w:proofErr w:type="spellStart"/>
      <w:r w:rsidR="005F323D">
        <w:rPr>
          <w:sz w:val="23"/>
          <w:szCs w:val="23"/>
        </w:rPr>
        <w:t>Plantin</w:t>
      </w:r>
      <w:proofErr w:type="spellEnd"/>
      <w:r w:rsidR="005F323D">
        <w:rPr>
          <w:sz w:val="23"/>
          <w:szCs w:val="23"/>
        </w:rPr>
        <w:t xml:space="preserve">, com os </w:t>
      </w:r>
      <w:r w:rsidR="005F323D" w:rsidRPr="00791C6A">
        <w:rPr>
          <w:i/>
          <w:sz w:val="23"/>
          <w:szCs w:val="23"/>
        </w:rPr>
        <w:t>Princípios da inferência emocional</w:t>
      </w:r>
      <w:r w:rsidR="005F323D">
        <w:rPr>
          <w:sz w:val="23"/>
          <w:szCs w:val="23"/>
        </w:rPr>
        <w:t xml:space="preserve"> de </w:t>
      </w:r>
      <w:proofErr w:type="spellStart"/>
      <w:r w:rsidR="005F323D">
        <w:rPr>
          <w:sz w:val="23"/>
          <w:szCs w:val="23"/>
        </w:rPr>
        <w:t>Ungerer</w:t>
      </w:r>
      <w:proofErr w:type="spellEnd"/>
      <w:r w:rsidR="005F323D">
        <w:rPr>
          <w:sz w:val="23"/>
          <w:szCs w:val="23"/>
        </w:rPr>
        <w:t xml:space="preserve"> (1995), o qual propõe uma teoria de indutores (desencadeadores) de emoção no texto jornalístico: </w:t>
      </w:r>
    </w:p>
    <w:p w:rsidR="005F323D" w:rsidRPr="00791C6A" w:rsidRDefault="005F323D" w:rsidP="005F323D">
      <w:pPr>
        <w:pStyle w:val="Default"/>
        <w:spacing w:line="360" w:lineRule="auto"/>
        <w:jc w:val="center"/>
        <w:rPr>
          <w:sz w:val="23"/>
          <w:szCs w:val="23"/>
        </w:rPr>
      </w:pPr>
    </w:p>
    <w:p w:rsidR="005F323D" w:rsidRPr="00AC0512" w:rsidRDefault="005F323D" w:rsidP="005F323D">
      <w:pPr>
        <w:pStyle w:val="Default"/>
        <w:spacing w:after="200" w:line="360" w:lineRule="auto"/>
        <w:jc w:val="center"/>
      </w:pPr>
      <w:r w:rsidRPr="00AC0512">
        <w:t xml:space="preserve">Quadro </w:t>
      </w:r>
      <w:proofErr w:type="gramStart"/>
      <w:r w:rsidRPr="00AC0512">
        <w:t>1</w:t>
      </w:r>
      <w:proofErr w:type="gramEnd"/>
      <w:r w:rsidRPr="00AC0512">
        <w:t>: PRINCÍPIOS DA INFERÊNCIA EMOCIONAL</w:t>
      </w:r>
    </w:p>
    <w:tbl>
      <w:tblPr>
        <w:tblStyle w:val="Tabelacomgrade"/>
        <w:tblW w:w="0" w:type="auto"/>
        <w:tblLook w:val="04A0"/>
      </w:tblPr>
      <w:tblGrid>
        <w:gridCol w:w="4605"/>
        <w:gridCol w:w="4606"/>
      </w:tblGrid>
      <w:tr w:rsidR="005F323D" w:rsidTr="00067EA2">
        <w:tc>
          <w:tcPr>
            <w:tcW w:w="4605" w:type="dxa"/>
          </w:tcPr>
          <w:p w:rsidR="005F323D" w:rsidRPr="00417159" w:rsidRDefault="005F323D" w:rsidP="00067EA2">
            <w:pPr>
              <w:pStyle w:val="Default"/>
              <w:spacing w:line="360" w:lineRule="auto"/>
              <w:jc w:val="both"/>
              <w:rPr>
                <w:rFonts w:asciiTheme="minorHAnsi" w:hAnsiTheme="minorHAnsi"/>
              </w:rPr>
            </w:pPr>
            <w:r w:rsidRPr="00417159">
              <w:rPr>
                <w:rFonts w:asciiTheme="minorHAnsi" w:hAnsiTheme="minorHAnsi"/>
              </w:rPr>
              <w:t>PRINCÍPIOS DA INFERÊNCIA EMOCIONAL</w:t>
            </w:r>
          </w:p>
        </w:tc>
        <w:tc>
          <w:tcPr>
            <w:tcW w:w="4606" w:type="dxa"/>
          </w:tcPr>
          <w:p w:rsidR="005F323D" w:rsidRPr="00417159" w:rsidRDefault="005F323D" w:rsidP="00067EA2">
            <w:pPr>
              <w:pStyle w:val="Default"/>
              <w:spacing w:line="360" w:lineRule="auto"/>
              <w:jc w:val="both"/>
              <w:rPr>
                <w:rFonts w:asciiTheme="minorHAnsi" w:hAnsiTheme="minorHAnsi"/>
              </w:rPr>
            </w:pPr>
            <w:r w:rsidRPr="00417159">
              <w:rPr>
                <w:rFonts w:asciiTheme="minorHAnsi" w:hAnsiTheme="minorHAnsi"/>
              </w:rPr>
              <w:t>DESENCADEADORES LINGUÍSTICOS</w:t>
            </w:r>
          </w:p>
        </w:tc>
      </w:tr>
      <w:tr w:rsidR="005F323D" w:rsidTr="00067EA2">
        <w:tc>
          <w:tcPr>
            <w:tcW w:w="4605" w:type="dxa"/>
          </w:tcPr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1. Princípios da relevância emocional</w:t>
            </w:r>
          </w:p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 xml:space="preserve">Princípio de proximidade: “nós </w:t>
            </w:r>
            <w:proofErr w:type="spellStart"/>
            <w:proofErr w:type="gramStart"/>
            <w:r w:rsidRPr="00417159">
              <w:rPr>
                <w:rFonts w:asciiTheme="minorHAnsi" w:hAnsiTheme="minorHAnsi"/>
                <w:sz w:val="22"/>
                <w:szCs w:val="22"/>
              </w:rPr>
              <w:t>vs</w:t>
            </w:r>
            <w:proofErr w:type="spellEnd"/>
            <w:proofErr w:type="gramEnd"/>
            <w:r w:rsidRPr="00417159">
              <w:rPr>
                <w:rFonts w:asciiTheme="minorHAnsi" w:hAnsiTheme="minorHAnsi"/>
                <w:sz w:val="22"/>
                <w:szCs w:val="22"/>
              </w:rPr>
              <w:t xml:space="preserve"> eles”. Foc</w:t>
            </w:r>
            <w:r>
              <w:rPr>
                <w:rFonts w:asciiTheme="minorHAnsi" w:hAnsiTheme="minorHAnsi"/>
                <w:sz w:val="22"/>
                <w:szCs w:val="22"/>
              </w:rPr>
              <w:t>o no que está próximo do leitor</w:t>
            </w:r>
          </w:p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Princípio da animação (princípio de “vida e morte”). Foco no que é perigo de vida ou geração d</w:t>
            </w:r>
            <w:r>
              <w:rPr>
                <w:rFonts w:asciiTheme="minorHAnsi" w:hAnsiTheme="minorHAnsi"/>
                <w:sz w:val="22"/>
                <w:szCs w:val="22"/>
              </w:rPr>
              <w:t>e vida para a existência humana</w:t>
            </w:r>
          </w:p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Princípio da classificação ou numeração: Foco no que concerne a muitas e importantes pessoas</w:t>
            </w:r>
          </w:p>
        </w:tc>
        <w:tc>
          <w:tcPr>
            <w:tcW w:w="4606" w:type="dxa"/>
          </w:tcPr>
          <w:p w:rsidR="005F323D" w:rsidRPr="00EA071A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071A">
              <w:rPr>
                <w:rFonts w:asciiTheme="minorHAnsi" w:hAnsiTheme="minorHAnsi"/>
                <w:sz w:val="22"/>
                <w:szCs w:val="22"/>
              </w:rPr>
              <w:t xml:space="preserve">Dêiticos, termos de uso familiar, afetuosidade, formas de </w:t>
            </w:r>
            <w:proofErr w:type="gramStart"/>
            <w:r w:rsidRPr="00EA071A">
              <w:rPr>
                <w:rFonts w:asciiTheme="minorHAnsi" w:hAnsiTheme="minorHAnsi"/>
                <w:sz w:val="22"/>
                <w:szCs w:val="22"/>
              </w:rPr>
              <w:t>endereçamento</w:t>
            </w:r>
            <w:proofErr w:type="gramEnd"/>
          </w:p>
          <w:p w:rsidR="005F323D" w:rsidRPr="00EA071A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071A">
              <w:rPr>
                <w:rFonts w:asciiTheme="minorHAnsi" w:hAnsiTheme="minorHAnsi"/>
                <w:sz w:val="22"/>
                <w:szCs w:val="22"/>
              </w:rPr>
              <w:t>Vocabulário de “calamidades”: (homicídio, estupro, assalto, terremoto, vítimas, assassinato, ferimentos</w:t>
            </w:r>
            <w:proofErr w:type="gramStart"/>
            <w:r w:rsidRPr="00EA071A">
              <w:rPr>
                <w:rFonts w:asciiTheme="minorHAnsi" w:hAnsiTheme="minorHAnsi"/>
                <w:sz w:val="22"/>
                <w:szCs w:val="22"/>
              </w:rPr>
              <w:t>)</w:t>
            </w:r>
            <w:proofErr w:type="gramEnd"/>
          </w:p>
          <w:p w:rsidR="005F323D" w:rsidRDefault="005F323D" w:rsidP="00067EA2">
            <w:pPr>
              <w:pStyle w:val="Default"/>
              <w:jc w:val="both"/>
              <w:rPr>
                <w:sz w:val="23"/>
                <w:szCs w:val="23"/>
              </w:rPr>
            </w:pPr>
            <w:r w:rsidRPr="00EA071A">
              <w:rPr>
                <w:rFonts w:asciiTheme="minorHAnsi" w:hAnsiTheme="minorHAnsi"/>
                <w:sz w:val="22"/>
                <w:szCs w:val="22"/>
              </w:rPr>
              <w:t>Numerais e outras expr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essões de quantidade, 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denominaçõ</w:t>
            </w:r>
            <w:r w:rsidRPr="00EA071A">
              <w:rPr>
                <w:rFonts w:asciiTheme="minorHAnsi" w:hAnsiTheme="minorHAnsi"/>
                <w:sz w:val="22"/>
                <w:szCs w:val="22"/>
              </w:rPr>
              <w:t>es</w:t>
            </w:r>
            <w:proofErr w:type="gramEnd"/>
          </w:p>
        </w:tc>
      </w:tr>
      <w:tr w:rsidR="005F323D" w:rsidTr="00067EA2">
        <w:tc>
          <w:tcPr>
            <w:tcW w:w="4605" w:type="dxa"/>
          </w:tcPr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2. Princípio da avaliação</w:t>
            </w:r>
          </w:p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Proporciona avaliações baseadas em normas da sua cultura</w:t>
            </w:r>
          </w:p>
        </w:tc>
        <w:tc>
          <w:tcPr>
            <w:tcW w:w="4606" w:type="dxa"/>
          </w:tcPr>
          <w:p w:rsidR="005F323D" w:rsidRPr="00EA071A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071A">
              <w:rPr>
                <w:rFonts w:asciiTheme="minorHAnsi" w:hAnsiTheme="minorHAnsi"/>
                <w:sz w:val="22"/>
                <w:szCs w:val="22"/>
              </w:rPr>
              <w:t xml:space="preserve">Advérbios de comentário, itens lexicais com conotações </w:t>
            </w:r>
            <w:proofErr w:type="gramStart"/>
            <w:r w:rsidRPr="00EA071A">
              <w:rPr>
                <w:rFonts w:asciiTheme="minorHAnsi" w:hAnsiTheme="minorHAnsi"/>
                <w:sz w:val="22"/>
                <w:szCs w:val="22"/>
              </w:rPr>
              <w:t>positivas/negativas</w:t>
            </w:r>
            <w:proofErr w:type="gramEnd"/>
          </w:p>
        </w:tc>
      </w:tr>
      <w:tr w:rsidR="005F323D" w:rsidTr="00067EA2">
        <w:tc>
          <w:tcPr>
            <w:tcW w:w="4605" w:type="dxa"/>
          </w:tcPr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3. Princípio da intensidade de apresentação: seja drástico</w:t>
            </w:r>
          </w:p>
        </w:tc>
        <w:tc>
          <w:tcPr>
            <w:tcW w:w="4606" w:type="dxa"/>
          </w:tcPr>
          <w:p w:rsidR="005F323D" w:rsidRPr="00EA071A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Uso de</w:t>
            </w:r>
            <w:r w:rsidRPr="00EA071A">
              <w:rPr>
                <w:rFonts w:asciiTheme="minorHAnsi" w:hAnsiTheme="minorHAnsi"/>
                <w:sz w:val="22"/>
                <w:szCs w:val="22"/>
              </w:rPr>
              <w:t xml:space="preserve"> detalhes vividos e conexões metafóricas com domínios emocionalmente estabelecidos (Bíblia)</w:t>
            </w:r>
          </w:p>
        </w:tc>
      </w:tr>
      <w:tr w:rsidR="005F323D" w:rsidTr="00067EA2">
        <w:tc>
          <w:tcPr>
            <w:tcW w:w="4605" w:type="dxa"/>
          </w:tcPr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4. Princípio do conteúdo emocional</w:t>
            </w:r>
          </w:p>
          <w:p w:rsidR="005F323D" w:rsidRPr="00417159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17159">
              <w:rPr>
                <w:rFonts w:asciiTheme="minorHAnsi" w:hAnsiTheme="minorHAnsi"/>
                <w:sz w:val="22"/>
                <w:szCs w:val="22"/>
              </w:rPr>
              <w:t>Menção dos aspectos emocionais em eventos específicos</w:t>
            </w:r>
          </w:p>
        </w:tc>
        <w:tc>
          <w:tcPr>
            <w:tcW w:w="4606" w:type="dxa"/>
          </w:tcPr>
          <w:p w:rsidR="005F323D" w:rsidRPr="00EA071A" w:rsidRDefault="005F323D" w:rsidP="00067EA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A071A">
              <w:rPr>
                <w:rFonts w:asciiTheme="minorHAnsi" w:hAnsiTheme="minorHAnsi"/>
                <w:sz w:val="22"/>
                <w:szCs w:val="22"/>
              </w:rPr>
              <w:t>Termos de emoção descritiva (adjetivos, substantivos e verbos</w:t>
            </w:r>
            <w:proofErr w:type="gramStart"/>
            <w:r w:rsidRPr="00EA071A">
              <w:rPr>
                <w:rFonts w:asciiTheme="minorHAnsi" w:hAnsiTheme="minorHAnsi"/>
                <w:sz w:val="22"/>
                <w:szCs w:val="22"/>
              </w:rPr>
              <w:t>)</w:t>
            </w:r>
            <w:proofErr w:type="gramEnd"/>
          </w:p>
        </w:tc>
      </w:tr>
    </w:tbl>
    <w:p w:rsidR="00AE70DE" w:rsidRDefault="00AE70DE" w:rsidP="00AE70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933" w:rsidRDefault="00AE70DE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23D">
        <w:rPr>
          <w:rFonts w:ascii="Times New Roman" w:hAnsi="Times New Roman" w:cs="Times New Roman"/>
          <w:sz w:val="24"/>
          <w:szCs w:val="24"/>
        </w:rPr>
        <w:t>Utilizaremos o quadro acima como importante ferramenta teórico-metodológica</w:t>
      </w:r>
      <w:r w:rsidR="00F0513C">
        <w:rPr>
          <w:rFonts w:ascii="Times New Roman" w:hAnsi="Times New Roman" w:cs="Times New Roman"/>
          <w:sz w:val="24"/>
          <w:szCs w:val="24"/>
        </w:rPr>
        <w:t xml:space="preserve"> para</w:t>
      </w:r>
      <w:r w:rsidR="005F323D">
        <w:rPr>
          <w:rFonts w:ascii="Times New Roman" w:hAnsi="Times New Roman" w:cs="Times New Roman"/>
          <w:sz w:val="24"/>
          <w:szCs w:val="24"/>
        </w:rPr>
        <w:t xml:space="preserve"> criar as categorias de</w:t>
      </w:r>
      <w:r w:rsidR="00123D22">
        <w:rPr>
          <w:rFonts w:ascii="Times New Roman" w:hAnsi="Times New Roman" w:cs="Times New Roman"/>
          <w:sz w:val="24"/>
          <w:szCs w:val="24"/>
        </w:rPr>
        <w:t xml:space="preserve"> análise do texto </w:t>
      </w:r>
      <w:r w:rsidR="00845B41">
        <w:rPr>
          <w:rFonts w:ascii="Times New Roman" w:hAnsi="Times New Roman" w:cs="Times New Roman"/>
          <w:sz w:val="24"/>
          <w:szCs w:val="24"/>
        </w:rPr>
        <w:t xml:space="preserve">e </w:t>
      </w:r>
      <w:r w:rsidR="007A3933">
        <w:rPr>
          <w:rFonts w:ascii="Times New Roman" w:hAnsi="Times New Roman" w:cs="Times New Roman"/>
          <w:sz w:val="24"/>
          <w:szCs w:val="24"/>
        </w:rPr>
        <w:t xml:space="preserve">articularemos os desencadeadores linguísticos de emoção com os modos de organização do discurso, analisados por </w:t>
      </w:r>
      <w:proofErr w:type="spellStart"/>
      <w:r w:rsidR="007A3933">
        <w:rPr>
          <w:rFonts w:ascii="Times New Roman" w:hAnsi="Times New Roman" w:cs="Times New Roman"/>
          <w:sz w:val="24"/>
          <w:szCs w:val="24"/>
        </w:rPr>
        <w:t>Charaudeau</w:t>
      </w:r>
      <w:proofErr w:type="spellEnd"/>
      <w:r w:rsidR="007A3933">
        <w:rPr>
          <w:rFonts w:ascii="Times New Roman" w:hAnsi="Times New Roman" w:cs="Times New Roman"/>
          <w:sz w:val="24"/>
          <w:szCs w:val="24"/>
        </w:rPr>
        <w:t xml:space="preserve"> (2012), para quem todo ato de linguagem resulta de vários componentes linguísticos e situacionais. O teórico categoriza quatro maneiras de organizar a encenação discursiva</w:t>
      </w:r>
      <w:r w:rsidR="00AF5AF1">
        <w:rPr>
          <w:rFonts w:ascii="Times New Roman" w:hAnsi="Times New Roman" w:cs="Times New Roman"/>
          <w:sz w:val="24"/>
          <w:szCs w:val="24"/>
        </w:rPr>
        <w:t xml:space="preserve"> (p. 75)</w:t>
      </w:r>
      <w:r w:rsidR="007A3933">
        <w:rPr>
          <w:rFonts w:ascii="Times New Roman" w:hAnsi="Times New Roman" w:cs="Times New Roman"/>
          <w:sz w:val="24"/>
          <w:szCs w:val="24"/>
        </w:rPr>
        <w:t xml:space="preserve">: a) </w:t>
      </w:r>
      <w:proofErr w:type="gramStart"/>
      <w:r w:rsidR="007A3933">
        <w:rPr>
          <w:rFonts w:ascii="Times New Roman" w:hAnsi="Times New Roman" w:cs="Times New Roman"/>
          <w:sz w:val="24"/>
          <w:szCs w:val="24"/>
        </w:rPr>
        <w:t>enunciativo, b)</w:t>
      </w:r>
      <w:proofErr w:type="gramEnd"/>
      <w:r w:rsidR="007A3933">
        <w:rPr>
          <w:rFonts w:ascii="Times New Roman" w:hAnsi="Times New Roman" w:cs="Times New Roman"/>
          <w:sz w:val="24"/>
          <w:szCs w:val="24"/>
        </w:rPr>
        <w:t xml:space="preserve"> descritivo, c) narrativo e d) argumentativo, mostrando como cada uma delas </w:t>
      </w:r>
      <w:r w:rsidR="00845B41">
        <w:rPr>
          <w:rFonts w:ascii="Times New Roman" w:hAnsi="Times New Roman" w:cs="Times New Roman"/>
          <w:sz w:val="24"/>
          <w:szCs w:val="24"/>
        </w:rPr>
        <w:t xml:space="preserve">segue  princípios, </w:t>
      </w:r>
      <w:r w:rsidR="005E45DC">
        <w:rPr>
          <w:rFonts w:ascii="Times New Roman" w:hAnsi="Times New Roman" w:cs="Times New Roman"/>
          <w:sz w:val="24"/>
          <w:szCs w:val="24"/>
        </w:rPr>
        <w:t xml:space="preserve">satisfaz certas funções e </w:t>
      </w:r>
      <w:r w:rsidR="007A3933">
        <w:rPr>
          <w:rFonts w:ascii="Times New Roman" w:hAnsi="Times New Roman" w:cs="Times New Roman"/>
          <w:sz w:val="24"/>
          <w:szCs w:val="24"/>
        </w:rPr>
        <w:t>orienta determinados efeitos discursivos</w:t>
      </w:r>
      <w:r w:rsidR="00AF5AF1">
        <w:rPr>
          <w:rFonts w:ascii="Times New Roman" w:hAnsi="Times New Roman" w:cs="Times New Roman"/>
          <w:sz w:val="24"/>
          <w:szCs w:val="24"/>
        </w:rPr>
        <w:t>, como podemos ver</w:t>
      </w:r>
      <w:r w:rsidR="005E45DC">
        <w:rPr>
          <w:rFonts w:ascii="Times New Roman" w:hAnsi="Times New Roman" w:cs="Times New Roman"/>
          <w:sz w:val="24"/>
          <w:szCs w:val="24"/>
        </w:rPr>
        <w:t xml:space="preserve"> </w:t>
      </w:r>
      <w:r w:rsidR="00AF5AF1">
        <w:rPr>
          <w:rFonts w:ascii="Times New Roman" w:hAnsi="Times New Roman" w:cs="Times New Roman"/>
          <w:sz w:val="24"/>
          <w:szCs w:val="24"/>
        </w:rPr>
        <w:t>(Quadro 2)</w:t>
      </w:r>
      <w:r w:rsidR="007A393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E45DC" w:rsidRDefault="00AF5AF1" w:rsidP="00AC051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Quadro 2. MODOS DE ORGANIZAÇÃO DO DISCURSO</w:t>
      </w:r>
    </w:p>
    <w:tbl>
      <w:tblPr>
        <w:tblStyle w:val="Tabelacomgrade"/>
        <w:tblW w:w="0" w:type="auto"/>
        <w:tblLook w:val="04A0"/>
      </w:tblPr>
      <w:tblGrid>
        <w:gridCol w:w="2802"/>
        <w:gridCol w:w="3118"/>
        <w:gridCol w:w="3291"/>
      </w:tblGrid>
      <w:tr w:rsidR="005E45DC" w:rsidTr="00845B41">
        <w:tc>
          <w:tcPr>
            <w:tcW w:w="2802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E45DC">
              <w:rPr>
                <w:rFonts w:cs="Times New Roman"/>
                <w:sz w:val="24"/>
                <w:szCs w:val="24"/>
              </w:rPr>
              <w:t>MODO DE ORGANIZAÇÃO</w:t>
            </w:r>
          </w:p>
        </w:tc>
        <w:tc>
          <w:tcPr>
            <w:tcW w:w="3118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E45DC">
              <w:rPr>
                <w:rFonts w:cs="Times New Roman"/>
                <w:sz w:val="24"/>
                <w:szCs w:val="24"/>
              </w:rPr>
              <w:t>FUNÇÃO DE BASE</w:t>
            </w:r>
          </w:p>
        </w:tc>
        <w:tc>
          <w:tcPr>
            <w:tcW w:w="3291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5E45DC">
              <w:rPr>
                <w:rFonts w:cs="Times New Roman"/>
                <w:sz w:val="24"/>
                <w:szCs w:val="24"/>
              </w:rPr>
              <w:t>PRINCÍPIO DE ORGANIZAÇÃO</w:t>
            </w:r>
          </w:p>
        </w:tc>
      </w:tr>
      <w:tr w:rsidR="005E45DC" w:rsidTr="00845B41">
        <w:tc>
          <w:tcPr>
            <w:tcW w:w="2802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ENUNCIATIVO</w:t>
            </w:r>
          </w:p>
        </w:tc>
        <w:tc>
          <w:tcPr>
            <w:tcW w:w="3118" w:type="dxa"/>
          </w:tcPr>
          <w:p w:rsidR="005E45DC" w:rsidRPr="005E45DC" w:rsidRDefault="005E45DC" w:rsidP="00845B41">
            <w:pPr>
              <w:jc w:val="center"/>
              <w:rPr>
                <w:rFonts w:cs="Times New Roman"/>
                <w:b/>
              </w:rPr>
            </w:pPr>
            <w:r w:rsidRPr="005E45DC">
              <w:rPr>
                <w:rFonts w:cs="Times New Roman"/>
                <w:b/>
              </w:rPr>
              <w:t>Relação de influência</w:t>
            </w:r>
          </w:p>
          <w:p w:rsidR="005E45DC" w:rsidRPr="005E45DC" w:rsidRDefault="005E45DC" w:rsidP="00845B41">
            <w:pPr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(EU –&gt; TU)</w:t>
            </w:r>
          </w:p>
          <w:p w:rsidR="005E45DC" w:rsidRPr="005E45DC" w:rsidRDefault="005E45DC" w:rsidP="00845B41">
            <w:pPr>
              <w:jc w:val="center"/>
              <w:rPr>
                <w:rFonts w:cs="Times New Roman"/>
                <w:b/>
              </w:rPr>
            </w:pPr>
            <w:r w:rsidRPr="005E45DC">
              <w:rPr>
                <w:rFonts w:cs="Times New Roman"/>
                <w:b/>
              </w:rPr>
              <w:t>Ponto de vista do sujeito</w:t>
            </w:r>
          </w:p>
          <w:p w:rsidR="005E45DC" w:rsidRPr="005E45DC" w:rsidRDefault="005E45DC" w:rsidP="00845B41">
            <w:pPr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(EU –&gt; ELE)</w:t>
            </w:r>
          </w:p>
          <w:p w:rsidR="005E45DC" w:rsidRPr="005E45DC" w:rsidRDefault="005E45DC" w:rsidP="00845B41">
            <w:pPr>
              <w:jc w:val="center"/>
              <w:rPr>
                <w:rFonts w:cs="Times New Roman"/>
                <w:b/>
              </w:rPr>
            </w:pPr>
            <w:r w:rsidRPr="005E45DC">
              <w:rPr>
                <w:rFonts w:cs="Times New Roman"/>
                <w:b/>
              </w:rPr>
              <w:t>Retomada do que já foi dito</w:t>
            </w:r>
          </w:p>
          <w:p w:rsidR="005E45DC" w:rsidRPr="005E45DC" w:rsidRDefault="005E45DC" w:rsidP="00845B41">
            <w:pPr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(ELE)</w:t>
            </w:r>
          </w:p>
          <w:p w:rsidR="005E45DC" w:rsidRDefault="005E45DC" w:rsidP="00845B4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5E45DC" w:rsidRPr="005E45DC" w:rsidRDefault="005E45DC" w:rsidP="00845B41">
            <w:pPr>
              <w:pStyle w:val="PargrafodaLista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Posição em relação ao interlocutor</w:t>
            </w:r>
          </w:p>
          <w:p w:rsidR="005E45DC" w:rsidRPr="005E45DC" w:rsidRDefault="005E45DC" w:rsidP="00845B41">
            <w:pPr>
              <w:pStyle w:val="PargrafodaLista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Posição em relação ao mundo</w:t>
            </w:r>
          </w:p>
          <w:p w:rsidR="005E45DC" w:rsidRPr="005E45DC" w:rsidRDefault="005E45DC" w:rsidP="00845B41">
            <w:pPr>
              <w:pStyle w:val="PargrafodaLista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5DC">
              <w:rPr>
                <w:rFonts w:cs="Times New Roman"/>
              </w:rPr>
              <w:t>Posição em relação a outros discursos</w:t>
            </w:r>
          </w:p>
        </w:tc>
      </w:tr>
      <w:tr w:rsidR="005E45DC" w:rsidTr="00845B41">
        <w:tc>
          <w:tcPr>
            <w:tcW w:w="2802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DESCRITIVO</w:t>
            </w:r>
          </w:p>
        </w:tc>
        <w:tc>
          <w:tcPr>
            <w:tcW w:w="3118" w:type="dxa"/>
          </w:tcPr>
          <w:p w:rsidR="005E45DC" w:rsidRPr="005E45DC" w:rsidRDefault="005E45DC" w:rsidP="00845B41">
            <w:pPr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  <w:b/>
              </w:rPr>
              <w:t>Identificar e qualificar</w:t>
            </w:r>
            <w:r w:rsidRPr="005E45DC">
              <w:rPr>
                <w:rFonts w:cs="Times New Roman"/>
              </w:rPr>
              <w:t xml:space="preserve"> seres de maneira </w:t>
            </w:r>
            <w:proofErr w:type="gramStart"/>
            <w:r w:rsidRPr="005E45DC">
              <w:rPr>
                <w:rFonts w:cs="Times New Roman"/>
              </w:rPr>
              <w:t>objetiva/subjetiva</w:t>
            </w:r>
            <w:proofErr w:type="gramEnd"/>
          </w:p>
        </w:tc>
        <w:tc>
          <w:tcPr>
            <w:tcW w:w="3291" w:type="dxa"/>
          </w:tcPr>
          <w:p w:rsidR="005E45DC" w:rsidRDefault="005E45DC" w:rsidP="00845B41">
            <w:pPr>
              <w:pStyle w:val="PargrafodaLista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Organização da construção descritiva</w:t>
            </w:r>
          </w:p>
          <w:p w:rsidR="005E45DC" w:rsidRPr="005E45DC" w:rsidRDefault="005E45DC" w:rsidP="00845B41">
            <w:pPr>
              <w:pStyle w:val="PargrafodaLista"/>
              <w:ind w:left="0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(Nomear-Localizar-Qualificar)</w:t>
            </w:r>
          </w:p>
          <w:p w:rsidR="005E45DC" w:rsidRPr="005E45DC" w:rsidRDefault="005E45DC" w:rsidP="00845B41">
            <w:pPr>
              <w:pStyle w:val="PargrafodaLista"/>
              <w:numPr>
                <w:ilvl w:val="0"/>
                <w:numId w:val="8"/>
              </w:numPr>
              <w:ind w:left="0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5DC">
              <w:rPr>
                <w:rFonts w:cs="Times New Roman"/>
              </w:rPr>
              <w:t>Encenação descritiva</w:t>
            </w:r>
          </w:p>
        </w:tc>
      </w:tr>
      <w:tr w:rsidR="005E45DC" w:rsidTr="00845B41">
        <w:tc>
          <w:tcPr>
            <w:tcW w:w="2802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NARRATIVO</w:t>
            </w:r>
          </w:p>
        </w:tc>
        <w:tc>
          <w:tcPr>
            <w:tcW w:w="3118" w:type="dxa"/>
          </w:tcPr>
          <w:p w:rsidR="005E45DC" w:rsidRPr="00845B41" w:rsidRDefault="005E45DC" w:rsidP="00845B41">
            <w:pPr>
              <w:jc w:val="center"/>
              <w:rPr>
                <w:rFonts w:cs="Times New Roman"/>
              </w:rPr>
            </w:pPr>
            <w:r w:rsidRPr="00845B41">
              <w:rPr>
                <w:rFonts w:cs="Times New Roman"/>
                <w:b/>
              </w:rPr>
              <w:t>Construir a sucessão das ações</w:t>
            </w:r>
            <w:r w:rsidRPr="00845B41">
              <w:rPr>
                <w:rFonts w:cs="Times New Roman"/>
              </w:rPr>
              <w:t xml:space="preserve"> de uma história no tempo, com a finalidade de fazer um </w:t>
            </w:r>
            <w:proofErr w:type="gramStart"/>
            <w:r w:rsidRPr="00845B41">
              <w:rPr>
                <w:rFonts w:cs="Times New Roman"/>
              </w:rPr>
              <w:t>relato</w:t>
            </w:r>
            <w:proofErr w:type="gramEnd"/>
          </w:p>
        </w:tc>
        <w:tc>
          <w:tcPr>
            <w:tcW w:w="3291" w:type="dxa"/>
          </w:tcPr>
          <w:p w:rsidR="005E45DC" w:rsidRPr="00845B41" w:rsidRDefault="00845B41" w:rsidP="00845B41">
            <w:pPr>
              <w:pStyle w:val="PargrafodaLista"/>
              <w:numPr>
                <w:ilvl w:val="0"/>
                <w:numId w:val="8"/>
              </w:numPr>
              <w:ind w:left="357" w:hanging="357"/>
              <w:jc w:val="center"/>
              <w:rPr>
                <w:rFonts w:cs="Times New Roman"/>
              </w:rPr>
            </w:pPr>
            <w:r w:rsidRPr="00845B41">
              <w:rPr>
                <w:rFonts w:cs="Times New Roman"/>
              </w:rPr>
              <w:t>Organização da lógica narrativa (</w:t>
            </w:r>
            <w:proofErr w:type="spellStart"/>
            <w:r w:rsidRPr="00845B41">
              <w:rPr>
                <w:rFonts w:cs="Times New Roman"/>
              </w:rPr>
              <w:t>actantes</w:t>
            </w:r>
            <w:proofErr w:type="spellEnd"/>
            <w:r w:rsidRPr="00845B41">
              <w:rPr>
                <w:rFonts w:cs="Times New Roman"/>
              </w:rPr>
              <w:t xml:space="preserve"> e processos)</w:t>
            </w:r>
          </w:p>
          <w:p w:rsidR="00845B41" w:rsidRPr="00845B41" w:rsidRDefault="00845B41" w:rsidP="00845B41">
            <w:pPr>
              <w:pStyle w:val="PargrafodaLista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1">
              <w:rPr>
                <w:rFonts w:cs="Times New Roman"/>
              </w:rPr>
              <w:t>Encenação narrativa</w:t>
            </w:r>
          </w:p>
        </w:tc>
      </w:tr>
      <w:tr w:rsidR="005E45DC" w:rsidTr="00845B41">
        <w:tc>
          <w:tcPr>
            <w:tcW w:w="2802" w:type="dxa"/>
          </w:tcPr>
          <w:p w:rsidR="005E45DC" w:rsidRPr="005E45DC" w:rsidRDefault="005E45DC" w:rsidP="00845B41">
            <w:pPr>
              <w:spacing w:line="360" w:lineRule="auto"/>
              <w:jc w:val="center"/>
              <w:rPr>
                <w:rFonts w:cs="Times New Roman"/>
              </w:rPr>
            </w:pPr>
            <w:r w:rsidRPr="005E45DC">
              <w:rPr>
                <w:rFonts w:cs="Times New Roman"/>
              </w:rPr>
              <w:t>ARGUMENTATIVO</w:t>
            </w:r>
          </w:p>
        </w:tc>
        <w:tc>
          <w:tcPr>
            <w:tcW w:w="3118" w:type="dxa"/>
          </w:tcPr>
          <w:p w:rsidR="005E45DC" w:rsidRPr="00845B41" w:rsidRDefault="00845B41" w:rsidP="00845B41">
            <w:pPr>
              <w:jc w:val="center"/>
              <w:rPr>
                <w:rFonts w:cs="Times New Roman"/>
              </w:rPr>
            </w:pPr>
            <w:r w:rsidRPr="00845B41">
              <w:rPr>
                <w:rFonts w:cs="Times New Roman"/>
                <w:b/>
              </w:rPr>
              <w:t>Expor e provar casualidade</w:t>
            </w:r>
            <w:r w:rsidRPr="00845B41">
              <w:rPr>
                <w:rFonts w:cs="Times New Roman"/>
              </w:rPr>
              <w:t xml:space="preserve"> numa visada </w:t>
            </w:r>
            <w:proofErr w:type="spellStart"/>
            <w:r w:rsidRPr="00845B41">
              <w:rPr>
                <w:rFonts w:cs="Times New Roman"/>
              </w:rPr>
              <w:t>racionalizante</w:t>
            </w:r>
            <w:proofErr w:type="spellEnd"/>
            <w:r w:rsidRPr="00845B41">
              <w:rPr>
                <w:rFonts w:cs="Times New Roman"/>
              </w:rPr>
              <w:t xml:space="preserve"> para influenciar o interlocutor</w:t>
            </w:r>
          </w:p>
        </w:tc>
        <w:tc>
          <w:tcPr>
            <w:tcW w:w="3291" w:type="dxa"/>
          </w:tcPr>
          <w:p w:rsidR="005E45DC" w:rsidRPr="00845B41" w:rsidRDefault="00845B41" w:rsidP="00845B41">
            <w:pPr>
              <w:pStyle w:val="PargrafodaLista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</w:rPr>
            </w:pPr>
            <w:r w:rsidRPr="00845B41">
              <w:rPr>
                <w:rFonts w:cs="Times New Roman"/>
              </w:rPr>
              <w:t>Organização lógica argumentativa</w:t>
            </w:r>
          </w:p>
          <w:p w:rsidR="00845B41" w:rsidRPr="00845B41" w:rsidRDefault="00845B41" w:rsidP="00845B41">
            <w:pPr>
              <w:pStyle w:val="PargrafodaLista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1">
              <w:rPr>
                <w:rFonts w:cs="Times New Roman"/>
              </w:rPr>
              <w:t>Encenação argumentativa</w:t>
            </w:r>
          </w:p>
        </w:tc>
      </w:tr>
    </w:tbl>
    <w:p w:rsidR="005E45DC" w:rsidRDefault="005E45DC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696" w:rsidRDefault="005E45DC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3D22">
        <w:rPr>
          <w:rFonts w:ascii="Times New Roman" w:hAnsi="Times New Roman" w:cs="Times New Roman"/>
          <w:sz w:val="24"/>
          <w:szCs w:val="24"/>
        </w:rPr>
        <w:t xml:space="preserve">Uma vez que investigamos um objeto multimodal, e é nosso intuito </w:t>
      </w:r>
      <w:r w:rsidR="009C7923">
        <w:rPr>
          <w:rFonts w:ascii="Times New Roman" w:hAnsi="Times New Roman" w:cs="Times New Roman"/>
          <w:sz w:val="24"/>
          <w:szCs w:val="24"/>
        </w:rPr>
        <w:t>analisar tanto o conteúdo verbal</w:t>
      </w:r>
      <w:r w:rsidR="00123D22">
        <w:rPr>
          <w:rFonts w:ascii="Times New Roman" w:hAnsi="Times New Roman" w:cs="Times New Roman"/>
          <w:sz w:val="24"/>
          <w:szCs w:val="24"/>
        </w:rPr>
        <w:t xml:space="preserve"> quanto </w:t>
      </w:r>
      <w:r w:rsidR="009C792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proofErr w:type="gramStart"/>
      <w:r w:rsidR="009C7923">
        <w:rPr>
          <w:rFonts w:ascii="Times New Roman" w:hAnsi="Times New Roman" w:cs="Times New Roman"/>
          <w:sz w:val="24"/>
          <w:szCs w:val="24"/>
        </w:rPr>
        <w:t>não-verbal</w:t>
      </w:r>
      <w:proofErr w:type="spellEnd"/>
      <w:proofErr w:type="gramEnd"/>
      <w:r w:rsidR="00123D22">
        <w:rPr>
          <w:rFonts w:ascii="Times New Roman" w:hAnsi="Times New Roman" w:cs="Times New Roman"/>
          <w:sz w:val="24"/>
          <w:szCs w:val="24"/>
        </w:rPr>
        <w:t xml:space="preserve"> presentes na revista, optamos por </w:t>
      </w:r>
      <w:r w:rsidR="009C7923">
        <w:rPr>
          <w:rFonts w:ascii="Times New Roman" w:hAnsi="Times New Roman" w:cs="Times New Roman"/>
          <w:sz w:val="24"/>
          <w:szCs w:val="24"/>
        </w:rPr>
        <w:t xml:space="preserve">combinar referenciais da semiótica à análise do discurso. Para a interpretação dos recursos icônicos, iremos nos apoiar em Roland Barthes </w:t>
      </w:r>
      <w:r w:rsidR="00804113">
        <w:rPr>
          <w:rFonts w:ascii="Times New Roman" w:hAnsi="Times New Roman" w:cs="Times New Roman"/>
          <w:sz w:val="24"/>
          <w:szCs w:val="24"/>
        </w:rPr>
        <w:t xml:space="preserve">(1990) </w:t>
      </w:r>
      <w:r w:rsidR="009C7923">
        <w:rPr>
          <w:rFonts w:ascii="Times New Roman" w:hAnsi="Times New Roman" w:cs="Times New Roman"/>
          <w:sz w:val="24"/>
          <w:szCs w:val="24"/>
        </w:rPr>
        <w:t>e suas reflexões acerca de uma retórica da imagem. De acordo com o teórico, que desenvolveu</w:t>
      </w:r>
      <w:r w:rsidR="00AF5AF1">
        <w:rPr>
          <w:rFonts w:ascii="Times New Roman" w:hAnsi="Times New Roman" w:cs="Times New Roman"/>
          <w:sz w:val="24"/>
          <w:szCs w:val="24"/>
        </w:rPr>
        <w:t xml:space="preserve"> estudos sobre </w:t>
      </w:r>
      <w:r w:rsidR="009C7923">
        <w:rPr>
          <w:rFonts w:ascii="Times New Roman" w:hAnsi="Times New Roman" w:cs="Times New Roman"/>
          <w:sz w:val="24"/>
          <w:szCs w:val="24"/>
        </w:rPr>
        <w:t xml:space="preserve">a interpretação de imagens impressas em revistas e anúncios publicitários, os signos imagéticos são dotados de um primeiro sentido, o denotativo ou mensagem literal, </w:t>
      </w:r>
      <w:r w:rsidR="00355696">
        <w:rPr>
          <w:rFonts w:ascii="Times New Roman" w:hAnsi="Times New Roman" w:cs="Times New Roman"/>
          <w:sz w:val="24"/>
          <w:szCs w:val="24"/>
        </w:rPr>
        <w:t xml:space="preserve">relacionado </w:t>
      </w:r>
      <w:proofErr w:type="gramStart"/>
      <w:r w:rsidR="0035569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355696">
        <w:rPr>
          <w:rFonts w:ascii="Times New Roman" w:hAnsi="Times New Roman" w:cs="Times New Roman"/>
          <w:sz w:val="24"/>
          <w:szCs w:val="24"/>
        </w:rPr>
        <w:t xml:space="preserve"> percepção simples e superficial, </w:t>
      </w:r>
      <w:r w:rsidR="009C7923">
        <w:rPr>
          <w:rFonts w:ascii="Times New Roman" w:hAnsi="Times New Roman" w:cs="Times New Roman"/>
          <w:sz w:val="24"/>
          <w:szCs w:val="24"/>
        </w:rPr>
        <w:t>ao qual se soma um sentido segundo, o conotativo ou mensagem cultural</w:t>
      </w:r>
      <w:r w:rsidR="00355696">
        <w:rPr>
          <w:rFonts w:ascii="Times New Roman" w:hAnsi="Times New Roman" w:cs="Times New Roman"/>
          <w:sz w:val="24"/>
          <w:szCs w:val="24"/>
        </w:rPr>
        <w:t>, constituído por um sistema de códigos de natureza simbólica</w:t>
      </w:r>
      <w:r w:rsidR="009C7923">
        <w:rPr>
          <w:rFonts w:ascii="Times New Roman" w:hAnsi="Times New Roman" w:cs="Times New Roman"/>
          <w:sz w:val="24"/>
          <w:szCs w:val="24"/>
        </w:rPr>
        <w:t xml:space="preserve">. </w:t>
      </w:r>
      <w:r w:rsidR="00355696">
        <w:rPr>
          <w:rFonts w:ascii="Times New Roman" w:hAnsi="Times New Roman" w:cs="Times New Roman"/>
          <w:sz w:val="24"/>
          <w:szCs w:val="24"/>
        </w:rPr>
        <w:t>É no segundo nível em que estaria ancorada a ideologia, não havendo nenhuma imagem isenta de conotação; em cada imagem há uma sobreposição de mensagens.</w:t>
      </w:r>
    </w:p>
    <w:p w:rsidR="00123D22" w:rsidRDefault="00355696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Barthes ainda afirma que a imagem pode estabelecer com o texto verbal tanto uma relação de redundância</w:t>
      </w:r>
      <w:r w:rsidR="00AC0512">
        <w:rPr>
          <w:rFonts w:ascii="Times New Roman" w:hAnsi="Times New Roman" w:cs="Times New Roman"/>
          <w:sz w:val="24"/>
          <w:szCs w:val="24"/>
        </w:rPr>
        <w:t xml:space="preserve"> ou ancoragem</w:t>
      </w:r>
      <w:r>
        <w:rPr>
          <w:rFonts w:ascii="Times New Roman" w:hAnsi="Times New Roman" w:cs="Times New Roman"/>
          <w:sz w:val="24"/>
          <w:szCs w:val="24"/>
        </w:rPr>
        <w:t xml:space="preserve">, o que é mais comum, duplicando a mensagem, ou uma relação de complemento, ocorrendo acréscimo de informação. </w:t>
      </w:r>
      <w:r w:rsidR="002701AD">
        <w:rPr>
          <w:rFonts w:ascii="Times New Roman" w:hAnsi="Times New Roman" w:cs="Times New Roman"/>
          <w:sz w:val="24"/>
          <w:szCs w:val="24"/>
        </w:rPr>
        <w:t xml:space="preserve">Em nossa análise atentaremos para os dois níveis simbólicos, observando como se dá essa dinâmica no processo de significação do discurso em </w:t>
      </w:r>
      <w:r w:rsidR="002701AD" w:rsidRPr="002701AD">
        <w:rPr>
          <w:rFonts w:ascii="Times New Roman" w:hAnsi="Times New Roman" w:cs="Times New Roman"/>
          <w:i/>
          <w:sz w:val="24"/>
          <w:szCs w:val="24"/>
        </w:rPr>
        <w:t>Vida Simples</w:t>
      </w:r>
      <w:r w:rsidR="002701AD">
        <w:rPr>
          <w:rFonts w:ascii="Times New Roman" w:hAnsi="Times New Roman" w:cs="Times New Roman"/>
          <w:sz w:val="24"/>
          <w:szCs w:val="24"/>
        </w:rPr>
        <w:t>.</w:t>
      </w:r>
    </w:p>
    <w:p w:rsidR="002701AD" w:rsidRDefault="002701AD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Para sintetizar nossos referenciais de análise, </w:t>
      </w:r>
      <w:r w:rsidR="00B219F7">
        <w:rPr>
          <w:rFonts w:ascii="Times New Roman" w:hAnsi="Times New Roman" w:cs="Times New Roman"/>
          <w:sz w:val="24"/>
          <w:szCs w:val="24"/>
        </w:rPr>
        <w:t>reunindo</w:t>
      </w:r>
      <w:r w:rsidR="00D61EE8">
        <w:rPr>
          <w:rFonts w:ascii="Times New Roman" w:hAnsi="Times New Roman" w:cs="Times New Roman"/>
          <w:sz w:val="24"/>
          <w:szCs w:val="24"/>
        </w:rPr>
        <w:t xml:space="preserve"> </w:t>
      </w:r>
      <w:r w:rsidR="00B219F7">
        <w:rPr>
          <w:rFonts w:ascii="Times New Roman" w:hAnsi="Times New Roman" w:cs="Times New Roman"/>
          <w:sz w:val="24"/>
          <w:szCs w:val="24"/>
        </w:rPr>
        <w:t xml:space="preserve">as reflexões sobre </w:t>
      </w:r>
      <w:proofErr w:type="spellStart"/>
      <w:r w:rsidR="00D61EE8">
        <w:rPr>
          <w:rFonts w:ascii="Times New Roman" w:hAnsi="Times New Roman" w:cs="Times New Roman"/>
          <w:sz w:val="24"/>
          <w:szCs w:val="24"/>
        </w:rPr>
        <w:t>patemização</w:t>
      </w:r>
      <w:proofErr w:type="spellEnd"/>
      <w:r w:rsidR="00D61EE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61EE8">
        <w:rPr>
          <w:rFonts w:ascii="Times New Roman" w:hAnsi="Times New Roman" w:cs="Times New Roman"/>
          <w:sz w:val="24"/>
          <w:szCs w:val="24"/>
        </w:rPr>
        <w:t>Plantin</w:t>
      </w:r>
      <w:proofErr w:type="spellEnd"/>
      <w:r w:rsidR="00D61EE8">
        <w:rPr>
          <w:rFonts w:ascii="Times New Roman" w:hAnsi="Times New Roman" w:cs="Times New Roman"/>
          <w:sz w:val="24"/>
          <w:szCs w:val="24"/>
        </w:rPr>
        <w:t xml:space="preserve">, a sistematização sobre os modos de organização do discurso de </w:t>
      </w:r>
      <w:proofErr w:type="spellStart"/>
      <w:r w:rsidR="00D61EE8">
        <w:rPr>
          <w:rFonts w:ascii="Times New Roman" w:hAnsi="Times New Roman" w:cs="Times New Roman"/>
          <w:sz w:val="24"/>
          <w:szCs w:val="24"/>
        </w:rPr>
        <w:t>Charaudeau</w:t>
      </w:r>
      <w:proofErr w:type="spellEnd"/>
      <w:r w:rsidR="00D61EE8">
        <w:rPr>
          <w:rFonts w:ascii="Times New Roman" w:hAnsi="Times New Roman" w:cs="Times New Roman"/>
          <w:sz w:val="24"/>
          <w:szCs w:val="24"/>
        </w:rPr>
        <w:t xml:space="preserve"> e os estudos so</w:t>
      </w:r>
      <w:r w:rsidR="00B219F7">
        <w:rPr>
          <w:rFonts w:ascii="Times New Roman" w:hAnsi="Times New Roman" w:cs="Times New Roman"/>
          <w:sz w:val="24"/>
          <w:szCs w:val="24"/>
        </w:rPr>
        <w:t>bre a retórica da imagem em Barthes,</w:t>
      </w:r>
      <w:r w:rsidR="00D61E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criamos o seguinte modelo</w:t>
      </w:r>
      <w:r w:rsidR="00D61EE8">
        <w:rPr>
          <w:rFonts w:ascii="Times New Roman" w:hAnsi="Times New Roman" w:cs="Times New Roman"/>
          <w:sz w:val="24"/>
          <w:szCs w:val="24"/>
        </w:rPr>
        <w:t xml:space="preserve"> </w:t>
      </w:r>
      <w:r w:rsidR="00B219F7">
        <w:rPr>
          <w:rFonts w:ascii="Times New Roman" w:hAnsi="Times New Roman" w:cs="Times New Roman"/>
          <w:sz w:val="24"/>
          <w:szCs w:val="24"/>
        </w:rPr>
        <w:t xml:space="preserve">sobre os </w:t>
      </w:r>
      <w:r w:rsidR="00B219F7" w:rsidRPr="00B219F7">
        <w:rPr>
          <w:rFonts w:ascii="Times New Roman" w:hAnsi="Times New Roman" w:cs="Times New Roman"/>
          <w:i/>
          <w:sz w:val="24"/>
          <w:szCs w:val="24"/>
        </w:rPr>
        <w:t xml:space="preserve">Procedimentos discursivos para </w:t>
      </w:r>
      <w:r w:rsidR="00AF5AF1">
        <w:rPr>
          <w:rFonts w:ascii="Times New Roman" w:hAnsi="Times New Roman" w:cs="Times New Roman"/>
          <w:i/>
          <w:sz w:val="24"/>
          <w:szCs w:val="24"/>
        </w:rPr>
        <w:t xml:space="preserve">“argumentar” emoções </w:t>
      </w:r>
      <w:r w:rsidR="00AF5AF1">
        <w:rPr>
          <w:rFonts w:ascii="Times New Roman" w:hAnsi="Times New Roman" w:cs="Times New Roman"/>
          <w:sz w:val="24"/>
          <w:szCs w:val="24"/>
        </w:rPr>
        <w:t>(M</w:t>
      </w:r>
      <w:r w:rsidR="00B219F7">
        <w:rPr>
          <w:rFonts w:ascii="Times New Roman" w:hAnsi="Times New Roman" w:cs="Times New Roman"/>
          <w:sz w:val="24"/>
          <w:szCs w:val="24"/>
        </w:rPr>
        <w:t xml:space="preserve">odelo </w:t>
      </w:r>
      <w:proofErr w:type="gramStart"/>
      <w:r w:rsidR="00B219F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219F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219F7" w:rsidRDefault="00B219F7" w:rsidP="00B219F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9F7" w:rsidRDefault="00B219F7" w:rsidP="00B219F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Modelo 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F5AF1">
        <w:rPr>
          <w:rFonts w:ascii="Times New Roman" w:hAnsi="Times New Roman" w:cs="Times New Roman"/>
          <w:sz w:val="24"/>
          <w:szCs w:val="24"/>
        </w:rPr>
        <w:t>PROCEDIMENTOS DISCURSIVOS PARA “ARGUMENTAR” EMOÇÕES</w:t>
      </w:r>
    </w:p>
    <w:p w:rsidR="00D61EE8" w:rsidRDefault="00B219F7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9F7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612130" cy="4022090"/>
            <wp:effectExtent l="19050" t="0" r="7620" b="0"/>
            <wp:docPr id="5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8" cstate="print"/>
                    <a:srcRect l="12834" r="12834" b="7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02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997" w:rsidRDefault="00D61EE8" w:rsidP="007D6997">
      <w:pPr>
        <w:pStyle w:val="Default"/>
        <w:spacing w:line="360" w:lineRule="auto"/>
        <w:jc w:val="both"/>
      </w:pPr>
      <w:r>
        <w:tab/>
      </w:r>
    </w:p>
    <w:p w:rsidR="00C25754" w:rsidRDefault="007D6997" w:rsidP="007D6997">
      <w:pPr>
        <w:pStyle w:val="Default"/>
        <w:spacing w:line="360" w:lineRule="auto"/>
        <w:jc w:val="both"/>
      </w:pPr>
      <w:r>
        <w:tab/>
      </w:r>
      <w:r w:rsidR="00AF5AF1">
        <w:t xml:space="preserve">Analisando o modelo, constata-se que não </w:t>
      </w:r>
      <w:r>
        <w:t xml:space="preserve">há </w:t>
      </w:r>
      <w:r w:rsidR="00AF5AF1">
        <w:t>uma articulação evidente entre os desencadeadores linguísticos e o modo de organizaç</w:t>
      </w:r>
      <w:r>
        <w:t>ão argumentativo. S</w:t>
      </w:r>
      <w:r w:rsidR="00AF5AF1">
        <w:t xml:space="preserve">egundo </w:t>
      </w:r>
      <w:proofErr w:type="spellStart"/>
      <w:r w:rsidR="00AF5AF1">
        <w:t>Charaudeau</w:t>
      </w:r>
      <w:proofErr w:type="spellEnd"/>
      <w:r>
        <w:t xml:space="preserve"> (2012)</w:t>
      </w:r>
      <w:r w:rsidR="00AF5AF1">
        <w:t xml:space="preserve">, o modo argumentativo é mais difícil </w:t>
      </w:r>
      <w:r>
        <w:t xml:space="preserve">de ser tratado, uma vez que, diferente do narrativo e do descritivo, não se confronta com uma forma de realidade, visível e tangível (valendo ressaltar que ambos podem </w:t>
      </w:r>
      <w:proofErr w:type="gramStart"/>
      <w:r>
        <w:t>ser</w:t>
      </w:r>
      <w:proofErr w:type="gramEnd"/>
      <w:r>
        <w:t xml:space="preserve"> também bastante subjetivos, como veremos</w:t>
      </w:r>
      <w:r w:rsidR="00C25754">
        <w:t>, e que o enunciativo atravessaria todos os outros</w:t>
      </w:r>
      <w:r>
        <w:t xml:space="preserve">). </w:t>
      </w:r>
    </w:p>
    <w:p w:rsidR="007D6997" w:rsidRDefault="00C25754" w:rsidP="007D6997">
      <w:pPr>
        <w:pStyle w:val="Default"/>
        <w:spacing w:line="360" w:lineRule="auto"/>
        <w:jc w:val="both"/>
        <w:rPr>
          <w:sz w:val="23"/>
          <w:szCs w:val="23"/>
        </w:rPr>
      </w:pPr>
      <w:r>
        <w:tab/>
      </w:r>
      <w:r w:rsidR="007D6997">
        <w:t xml:space="preserve">O analista do discurso esclarece que “a argumentação não se limita a uma sequência de frases ou de proposições ligados por conectores lógicos” (p.203). Ao contrário, encontra-se frequentemente no que está implícito. Em nossa análise de </w:t>
      </w:r>
      <w:r w:rsidR="007D6997" w:rsidRPr="007D6997">
        <w:rPr>
          <w:i/>
        </w:rPr>
        <w:t>Vida Simples</w:t>
      </w:r>
      <w:r w:rsidR="007D6997">
        <w:t xml:space="preserve">, iremos considerar que todos os procedimentos presentes no modelo acima são cabíveis de “argumentar” emoções, tendo em vista que, para </w:t>
      </w:r>
      <w:proofErr w:type="spellStart"/>
      <w:r w:rsidR="007D6997">
        <w:t>Charaudeau</w:t>
      </w:r>
      <w:proofErr w:type="spellEnd"/>
      <w:r w:rsidR="007D6997">
        <w:t xml:space="preserve">, </w:t>
      </w:r>
      <w:r w:rsidR="007D6997">
        <w:rPr>
          <w:sz w:val="23"/>
          <w:szCs w:val="23"/>
        </w:rPr>
        <w:t xml:space="preserve">a dimensão </w:t>
      </w:r>
      <w:proofErr w:type="spellStart"/>
      <w:r w:rsidR="007D6997">
        <w:rPr>
          <w:sz w:val="23"/>
          <w:szCs w:val="23"/>
        </w:rPr>
        <w:t>patêmica</w:t>
      </w:r>
      <w:proofErr w:type="spellEnd"/>
      <w:r w:rsidR="007D6997">
        <w:rPr>
          <w:sz w:val="23"/>
          <w:szCs w:val="23"/>
        </w:rPr>
        <w:t xml:space="preserve"> do discurso estaria </w:t>
      </w:r>
      <w:r w:rsidR="007D6997">
        <w:rPr>
          <w:sz w:val="23"/>
          <w:szCs w:val="23"/>
        </w:rPr>
        <w:lastRenderedPageBreak/>
        <w:t xml:space="preserve">relacionada à mobilização das emoções com fins persuasivos, sendo, portanto, uma questão de estratégia daquele que assume a palavra. As emoções, desse modo, estão ligadas a saberes de crença que se inscrevem em uma problemática da representação psicossocial (CHARAUDEAU, 2010). De fato, é preciso cautela, pois se trata apenas de </w:t>
      </w:r>
      <w:r w:rsidR="007D6997" w:rsidRPr="008B0BCA">
        <w:rPr>
          <w:i/>
          <w:sz w:val="23"/>
          <w:szCs w:val="23"/>
        </w:rPr>
        <w:t>efeitos possíveis</w:t>
      </w:r>
      <w:r w:rsidR="007D6997">
        <w:rPr>
          <w:sz w:val="23"/>
          <w:szCs w:val="23"/>
        </w:rPr>
        <w:t xml:space="preserve"> (o leitor real pode não perceber ou compartilhar dessa dimensão </w:t>
      </w:r>
      <w:proofErr w:type="spellStart"/>
      <w:r w:rsidR="007D6997">
        <w:rPr>
          <w:sz w:val="23"/>
          <w:szCs w:val="23"/>
        </w:rPr>
        <w:t>patêmica</w:t>
      </w:r>
      <w:proofErr w:type="spellEnd"/>
      <w:r w:rsidR="007D6997">
        <w:rPr>
          <w:sz w:val="23"/>
          <w:szCs w:val="23"/>
        </w:rPr>
        <w:t xml:space="preserve"> do discurso). Mas as emoções serão aqui tratadas como estratégias discursivas com um efeito visado, nem sempre alcançado, porém nada ingênuo.</w:t>
      </w:r>
      <w:r w:rsidR="00AC05F6">
        <w:rPr>
          <w:sz w:val="23"/>
          <w:szCs w:val="23"/>
        </w:rPr>
        <w:t xml:space="preserve"> Nesse sentido, </w:t>
      </w:r>
      <w:r w:rsidR="00AC05F6" w:rsidRPr="00AC05F6">
        <w:rPr>
          <w:i/>
          <w:sz w:val="23"/>
          <w:szCs w:val="23"/>
        </w:rPr>
        <w:t>“</w:t>
      </w:r>
      <w:r w:rsidR="00AC05F6" w:rsidRPr="00C25754">
        <w:rPr>
          <w:sz w:val="23"/>
          <w:szCs w:val="23"/>
        </w:rPr>
        <w:t>argumentar</w:t>
      </w:r>
      <w:r w:rsidR="00AC05F6" w:rsidRPr="00AC05F6">
        <w:rPr>
          <w:i/>
          <w:sz w:val="23"/>
          <w:szCs w:val="23"/>
        </w:rPr>
        <w:t xml:space="preserve">” </w:t>
      </w:r>
      <w:r w:rsidR="00AC05F6">
        <w:rPr>
          <w:sz w:val="23"/>
          <w:szCs w:val="23"/>
        </w:rPr>
        <w:t>joga luz sobre o caráter intencional e de encenação do discurso das emoções e das emoções no discurso.</w:t>
      </w:r>
    </w:p>
    <w:p w:rsidR="002701AD" w:rsidRDefault="007D6997" w:rsidP="005F3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5AF1">
        <w:rPr>
          <w:rFonts w:ascii="Times New Roman" w:hAnsi="Times New Roman" w:cs="Times New Roman"/>
          <w:sz w:val="24"/>
          <w:szCs w:val="24"/>
        </w:rPr>
        <w:tab/>
      </w:r>
      <w:r w:rsidR="002701AD">
        <w:rPr>
          <w:rFonts w:ascii="Times New Roman" w:hAnsi="Times New Roman" w:cs="Times New Roman"/>
          <w:sz w:val="24"/>
          <w:szCs w:val="24"/>
        </w:rPr>
        <w:t xml:space="preserve">É importante frisar que este modelo </w:t>
      </w:r>
      <w:r w:rsidR="00AC05F6">
        <w:rPr>
          <w:rFonts w:ascii="Times New Roman" w:hAnsi="Times New Roman" w:cs="Times New Roman"/>
          <w:sz w:val="24"/>
          <w:szCs w:val="24"/>
        </w:rPr>
        <w:t xml:space="preserve">desenvolvido por nós para a pesquisa </w:t>
      </w:r>
      <w:r w:rsidR="002701AD">
        <w:rPr>
          <w:rFonts w:ascii="Times New Roman" w:hAnsi="Times New Roman" w:cs="Times New Roman"/>
          <w:sz w:val="24"/>
          <w:szCs w:val="24"/>
        </w:rPr>
        <w:t xml:space="preserve">irá nos orientar no processo de categorização, descrição e interpretação do material em análise. Porém, como nos </w:t>
      </w:r>
      <w:proofErr w:type="gramStart"/>
      <w:r w:rsidR="002701AD">
        <w:rPr>
          <w:rFonts w:ascii="Times New Roman" w:hAnsi="Times New Roman" w:cs="Times New Roman"/>
          <w:sz w:val="24"/>
          <w:szCs w:val="24"/>
        </w:rPr>
        <w:t>lembra</w:t>
      </w:r>
      <w:proofErr w:type="gramEnd"/>
      <w:r w:rsidR="002701AD">
        <w:rPr>
          <w:rFonts w:ascii="Times New Roman" w:hAnsi="Times New Roman" w:cs="Times New Roman"/>
          <w:sz w:val="24"/>
          <w:szCs w:val="24"/>
        </w:rPr>
        <w:t xml:space="preserve"> Moraes (1999), em uma abordagem qualitativa, construtiva e heurística, as categorias de análise poderão </w:t>
      </w:r>
      <w:r w:rsidR="00C25754">
        <w:rPr>
          <w:rFonts w:ascii="Times New Roman" w:hAnsi="Times New Roman" w:cs="Times New Roman"/>
          <w:sz w:val="24"/>
          <w:szCs w:val="24"/>
        </w:rPr>
        <w:t xml:space="preserve">ir emergindo ao longo do estudo, podendo haver alterações </w:t>
      </w:r>
      <w:r w:rsidR="002701AD">
        <w:rPr>
          <w:rFonts w:ascii="Times New Roman" w:hAnsi="Times New Roman" w:cs="Times New Roman"/>
          <w:sz w:val="24"/>
          <w:szCs w:val="24"/>
        </w:rPr>
        <w:t xml:space="preserve">à medida que a investigação avança. Assim, confirmaremos a validade desse modelo quando selecionarmos e confrontarmos os dados de fato.  </w:t>
      </w:r>
    </w:p>
    <w:p w:rsidR="00610E24" w:rsidRDefault="00610E24" w:rsidP="00610E24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D6997">
        <w:rPr>
          <w:rFonts w:ascii="Times New Roman" w:hAnsi="Times New Roman" w:cs="Times New Roman"/>
          <w:sz w:val="24"/>
          <w:szCs w:val="24"/>
        </w:rPr>
        <w:t>Por fim, é</w:t>
      </w:r>
      <w:r>
        <w:rPr>
          <w:rFonts w:ascii="Times New Roman" w:hAnsi="Times New Roman" w:cs="Times New Roman"/>
          <w:sz w:val="24"/>
          <w:szCs w:val="24"/>
        </w:rPr>
        <w:t xml:space="preserve"> válido esclarecer que esse trabalho não terá a característica de síntese, isto é, não irá capturar e conter em si a estrutura essencial do objeto estudado. Mas ofereceremos, no lugar, um conhecimento esquemático que pode ser considerado alternativamente à sua observação direta, através do processo descritivo, da transcrição de excertos e da reprodução da página quando for necessário à compreensão da análise, especialmente ao que concerne aos aspectos visuais.</w:t>
      </w:r>
    </w:p>
    <w:p w:rsidR="00D90CB2" w:rsidRDefault="00D90CB2"/>
    <w:p w:rsidR="00D90CB2" w:rsidRDefault="00D90CB2">
      <w:pPr>
        <w:rPr>
          <w:rFonts w:ascii="Times New Roman" w:hAnsi="Times New Roman" w:cs="Times New Roman"/>
          <w:b/>
          <w:sz w:val="24"/>
          <w:szCs w:val="24"/>
        </w:rPr>
      </w:pPr>
      <w:r w:rsidRPr="00D90CB2">
        <w:rPr>
          <w:rFonts w:ascii="Times New Roman" w:hAnsi="Times New Roman" w:cs="Times New Roman"/>
          <w:b/>
          <w:sz w:val="24"/>
          <w:szCs w:val="24"/>
        </w:rPr>
        <w:t>Referências</w:t>
      </w:r>
    </w:p>
    <w:p w:rsidR="00D90CB2" w:rsidRDefault="00D90CB2">
      <w:pPr>
        <w:rPr>
          <w:rFonts w:ascii="Times New Roman" w:hAnsi="Times New Roman" w:cs="Times New Roman"/>
          <w:b/>
          <w:sz w:val="24"/>
          <w:szCs w:val="24"/>
        </w:rPr>
      </w:pPr>
    </w:p>
    <w:p w:rsidR="00804113" w:rsidRPr="00804113" w:rsidRDefault="00804113" w:rsidP="00D90CB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113">
        <w:rPr>
          <w:rFonts w:ascii="Times New Roman" w:hAnsi="Times New Roman" w:cs="Times New Roman"/>
          <w:sz w:val="24"/>
          <w:szCs w:val="24"/>
        </w:rPr>
        <w:t>BARTHES, R</w:t>
      </w:r>
      <w:r>
        <w:rPr>
          <w:rFonts w:ascii="Times New Roman" w:hAnsi="Times New Roman" w:cs="Times New Roman"/>
          <w:sz w:val="24"/>
          <w:szCs w:val="24"/>
        </w:rPr>
        <w:t>oland. A retórica da imagem.</w:t>
      </w:r>
      <w:r w:rsidRPr="00804113">
        <w:rPr>
          <w:rFonts w:ascii="Times New Roman" w:hAnsi="Times New Roman" w:cs="Times New Roman"/>
          <w:sz w:val="24"/>
          <w:szCs w:val="24"/>
        </w:rPr>
        <w:t xml:space="preserve"> In: </w:t>
      </w:r>
      <w:r w:rsidRPr="00804113">
        <w:rPr>
          <w:rFonts w:ascii="Times New Roman" w:hAnsi="Times New Roman" w:cs="Times New Roman"/>
          <w:b/>
          <w:sz w:val="24"/>
          <w:szCs w:val="24"/>
        </w:rPr>
        <w:t>O óbvio e o obtuso</w:t>
      </w:r>
      <w:r w:rsidRPr="008041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113">
        <w:rPr>
          <w:rFonts w:ascii="Times New Roman" w:hAnsi="Times New Roman" w:cs="Times New Roman"/>
          <w:sz w:val="24"/>
          <w:szCs w:val="24"/>
        </w:rPr>
        <w:t xml:space="preserve">Rio de Janeiro: Nova </w:t>
      </w:r>
      <w:proofErr w:type="gramStart"/>
      <w:r w:rsidRPr="00804113">
        <w:rPr>
          <w:rFonts w:ascii="Times New Roman" w:hAnsi="Times New Roman" w:cs="Times New Roman"/>
          <w:sz w:val="24"/>
          <w:szCs w:val="24"/>
        </w:rPr>
        <w:t>Fronteira,</w:t>
      </w:r>
      <w:proofErr w:type="gramEnd"/>
      <w:r w:rsidRPr="00804113">
        <w:rPr>
          <w:rFonts w:ascii="Times New Roman" w:hAnsi="Times New Roman" w:cs="Times New Roman"/>
          <w:sz w:val="24"/>
          <w:szCs w:val="24"/>
        </w:rPr>
        <w:t>1990.</w:t>
      </w:r>
    </w:p>
    <w:p w:rsidR="00D90CB2" w:rsidRPr="00BB76A4" w:rsidRDefault="00D90CB2" w:rsidP="00D90CB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A4">
        <w:rPr>
          <w:rFonts w:ascii="Times New Roman" w:hAnsi="Times New Roman" w:cs="Times New Roman"/>
          <w:sz w:val="24"/>
          <w:szCs w:val="24"/>
        </w:rPr>
        <w:t xml:space="preserve">BRAVO, R. S. </w:t>
      </w:r>
      <w:r w:rsidRPr="005C2C38">
        <w:rPr>
          <w:rFonts w:ascii="Times New Roman" w:hAnsi="Times New Roman" w:cs="Times New Roman"/>
          <w:b/>
          <w:sz w:val="24"/>
          <w:szCs w:val="24"/>
        </w:rPr>
        <w:t>Técnicas de investigação social:</w:t>
      </w:r>
      <w:r w:rsidRPr="00BB76A4">
        <w:rPr>
          <w:rFonts w:ascii="Times New Roman" w:hAnsi="Times New Roman" w:cs="Times New Roman"/>
          <w:sz w:val="24"/>
          <w:szCs w:val="24"/>
        </w:rPr>
        <w:t xml:space="preserve"> Teoria e </w:t>
      </w:r>
      <w:proofErr w:type="spellStart"/>
      <w:r w:rsidRPr="00BB76A4">
        <w:rPr>
          <w:rFonts w:ascii="Times New Roman" w:hAnsi="Times New Roman" w:cs="Times New Roman"/>
          <w:sz w:val="24"/>
          <w:szCs w:val="24"/>
        </w:rPr>
        <w:t>ejercicios</w:t>
      </w:r>
      <w:proofErr w:type="spellEnd"/>
      <w:r w:rsidRPr="00BB76A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B76A4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BB76A4">
        <w:rPr>
          <w:rFonts w:ascii="Times New Roman" w:hAnsi="Times New Roman" w:cs="Times New Roman"/>
          <w:sz w:val="24"/>
          <w:szCs w:val="24"/>
        </w:rPr>
        <w:t xml:space="preserve"> ed. Madrid: Paraninfo, 1991.</w:t>
      </w:r>
    </w:p>
    <w:p w:rsidR="00D90CB2" w:rsidRDefault="00D90CB2" w:rsidP="00D90CB2">
      <w:pPr>
        <w:pStyle w:val="Default"/>
        <w:spacing w:after="200" w:line="360" w:lineRule="auto"/>
        <w:jc w:val="both"/>
      </w:pPr>
      <w:r w:rsidRPr="00AB25FD">
        <w:t>CHARAUDEAU, Patrick.</w:t>
      </w:r>
      <w:r>
        <w:t xml:space="preserve"> A </w:t>
      </w:r>
      <w:proofErr w:type="spellStart"/>
      <w:r>
        <w:t>patemização</w:t>
      </w:r>
      <w:proofErr w:type="spellEnd"/>
      <w:r>
        <w:t xml:space="preserve"> na televisão como estratégia de autenticidade. In: MENDES, Emília; MACHADO, Ida Lúcia (</w:t>
      </w:r>
      <w:proofErr w:type="spellStart"/>
      <w:r>
        <w:t>orgs</w:t>
      </w:r>
      <w:proofErr w:type="spellEnd"/>
      <w:r>
        <w:t xml:space="preserve">.). </w:t>
      </w:r>
      <w:r w:rsidRPr="00291661">
        <w:rPr>
          <w:b/>
        </w:rPr>
        <w:t>As emoções no discurso.</w:t>
      </w:r>
      <w:r>
        <w:t xml:space="preserve"> Vol. II. Campinas, São Paulo: Mercado de Letras, 2010.</w:t>
      </w:r>
    </w:p>
    <w:p w:rsidR="00D90CB2" w:rsidRDefault="00D90CB2" w:rsidP="00D90CB2">
      <w:pPr>
        <w:pStyle w:val="Default"/>
        <w:spacing w:after="200" w:line="360" w:lineRule="auto"/>
        <w:jc w:val="both"/>
      </w:pPr>
      <w:r w:rsidRPr="00D92B2A">
        <w:t xml:space="preserve">CHARAUDEAU, Patrick. </w:t>
      </w:r>
      <w:r w:rsidRPr="00AB25FD">
        <w:rPr>
          <w:b/>
          <w:bCs/>
        </w:rPr>
        <w:t>O discurso das mídias</w:t>
      </w:r>
      <w:r w:rsidRPr="00AB25FD">
        <w:t>.</w:t>
      </w:r>
      <w:r>
        <w:t xml:space="preserve"> </w:t>
      </w:r>
      <w:r w:rsidRPr="00AB25FD">
        <w:t>São Paulo: Contexto, 2006.</w:t>
      </w:r>
    </w:p>
    <w:p w:rsidR="00D90CB2" w:rsidRDefault="00D90CB2" w:rsidP="00D90CB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FREITAS, Ernani Cesar; PRODANOV, Cleber Cristiano. </w:t>
      </w:r>
      <w:r w:rsidRPr="00BB76A4">
        <w:rPr>
          <w:rFonts w:ascii="Times New Roman" w:hAnsi="Times New Roman" w:cs="Times New Roman"/>
          <w:b/>
          <w:sz w:val="24"/>
          <w:szCs w:val="24"/>
        </w:rPr>
        <w:t>Metodologia do trabalho científico</w:t>
      </w:r>
      <w:r w:rsidRPr="005C2C38">
        <w:rPr>
          <w:rFonts w:ascii="Times New Roman" w:hAnsi="Times New Roman" w:cs="Times New Roman"/>
          <w:b/>
          <w:sz w:val="24"/>
          <w:szCs w:val="24"/>
        </w:rPr>
        <w:t>:</w:t>
      </w:r>
      <w:r w:rsidRPr="005C2C38">
        <w:rPr>
          <w:rFonts w:ascii="Times New Roman" w:hAnsi="Times New Roman" w:cs="Times New Roman"/>
          <w:sz w:val="24"/>
          <w:szCs w:val="24"/>
        </w:rPr>
        <w:t xml:space="preserve"> Métodos e Técnicas da Pesquisa e do Trabalho Acadêmico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C2C38">
        <w:rPr>
          <w:rFonts w:ascii="Times New Roman" w:hAnsi="Times New Roman" w:cs="Times New Roman"/>
          <w:sz w:val="24"/>
          <w:szCs w:val="24"/>
        </w:rPr>
        <w:t xml:space="preserve">– 2. </w:t>
      </w:r>
      <w:proofErr w:type="gramStart"/>
      <w:r w:rsidRPr="005C2C38">
        <w:rPr>
          <w:rFonts w:ascii="Times New Roman" w:hAnsi="Times New Roman" w:cs="Times New Roman"/>
          <w:sz w:val="24"/>
          <w:szCs w:val="24"/>
        </w:rPr>
        <w:t>ed.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Novo Hamburgo: </w:t>
      </w:r>
      <w:proofErr w:type="spellStart"/>
      <w:r>
        <w:rPr>
          <w:rFonts w:ascii="Times New Roman" w:hAnsi="Times New Roman" w:cs="Times New Roman"/>
          <w:sz w:val="24"/>
          <w:szCs w:val="24"/>
        </w:rPr>
        <w:t>Feevale</w:t>
      </w:r>
      <w:proofErr w:type="spellEnd"/>
      <w:r>
        <w:rPr>
          <w:rFonts w:ascii="Times New Roman" w:hAnsi="Times New Roman" w:cs="Times New Roman"/>
          <w:sz w:val="24"/>
          <w:szCs w:val="24"/>
        </w:rPr>
        <w:t>,  2013.</w:t>
      </w:r>
    </w:p>
    <w:p w:rsidR="00D90CB2" w:rsidRPr="00AB25FD" w:rsidRDefault="00D90CB2" w:rsidP="00D90CB2">
      <w:pPr>
        <w:pStyle w:val="Default"/>
        <w:spacing w:after="200" w:line="360" w:lineRule="auto"/>
        <w:jc w:val="both"/>
      </w:pPr>
      <w:r w:rsidRPr="00AB25FD">
        <w:t xml:space="preserve">MAINGUENEAU, Dominique. </w:t>
      </w:r>
      <w:proofErr w:type="spellStart"/>
      <w:r w:rsidRPr="00AB25FD">
        <w:t>Ethos</w:t>
      </w:r>
      <w:proofErr w:type="spellEnd"/>
      <w:r w:rsidRPr="00AB25FD">
        <w:t>, cenografia, incorporação.</w:t>
      </w:r>
      <w:r>
        <w:t xml:space="preserve"> </w:t>
      </w:r>
      <w:r w:rsidRPr="00AB25FD">
        <w:t xml:space="preserve">In: AMOSSY, R. (org.) </w:t>
      </w:r>
      <w:r w:rsidRPr="00AB25FD">
        <w:rPr>
          <w:b/>
          <w:bCs/>
        </w:rPr>
        <w:t xml:space="preserve">Imagens de si no discurso: </w:t>
      </w:r>
      <w:r w:rsidRPr="00AB25FD">
        <w:t xml:space="preserve">a construção do </w:t>
      </w:r>
      <w:proofErr w:type="spellStart"/>
      <w:r w:rsidRPr="00AB25FD">
        <w:t>ethos</w:t>
      </w:r>
      <w:proofErr w:type="spellEnd"/>
      <w:r w:rsidRPr="00AB25FD">
        <w:t xml:space="preserve">. Trad. </w:t>
      </w:r>
      <w:proofErr w:type="spellStart"/>
      <w:r w:rsidRPr="00AB25FD">
        <w:t>Dilson</w:t>
      </w:r>
      <w:proofErr w:type="spellEnd"/>
      <w:r w:rsidRPr="00AB25FD">
        <w:t xml:space="preserve"> Ferreira da Cruz, Fabiana </w:t>
      </w:r>
      <w:proofErr w:type="spellStart"/>
      <w:r w:rsidRPr="00AB25FD">
        <w:t>Komesu</w:t>
      </w:r>
      <w:proofErr w:type="spellEnd"/>
      <w:r w:rsidRPr="00AB25FD">
        <w:t xml:space="preserve"> e Sírio </w:t>
      </w:r>
      <w:proofErr w:type="spellStart"/>
      <w:r w:rsidRPr="00AB25FD">
        <w:t>Possenti</w:t>
      </w:r>
      <w:proofErr w:type="spellEnd"/>
      <w:r>
        <w:t>. São Paulo: Contexto, 2005, p</w:t>
      </w:r>
      <w:r w:rsidRPr="00AB25FD">
        <w:t>. 69-92.</w:t>
      </w:r>
    </w:p>
    <w:p w:rsidR="00A07443" w:rsidRDefault="00A07443" w:rsidP="00D90CB2">
      <w:pPr>
        <w:pStyle w:val="Default"/>
        <w:spacing w:after="200" w:line="360" w:lineRule="auto"/>
        <w:jc w:val="both"/>
      </w:pPr>
      <w:r>
        <w:t xml:space="preserve">MORAES, Roque. </w:t>
      </w:r>
      <w:r w:rsidRPr="00A07443">
        <w:rPr>
          <w:b/>
        </w:rPr>
        <w:t>Análise de Conteúdo</w:t>
      </w:r>
      <w:r>
        <w:t xml:space="preserve">. Revista Educação, Porto Alegre, v.22, n.37, p.7-32, 1999. </w:t>
      </w:r>
    </w:p>
    <w:p w:rsidR="00D90CB2" w:rsidRDefault="00D90CB2" w:rsidP="00D90CB2">
      <w:pPr>
        <w:pStyle w:val="Default"/>
        <w:spacing w:after="200" w:line="360" w:lineRule="auto"/>
        <w:jc w:val="both"/>
      </w:pPr>
      <w:r>
        <w:t xml:space="preserve">PLANTIN, </w:t>
      </w:r>
      <w:proofErr w:type="spellStart"/>
      <w:r>
        <w:t>Chritian</w:t>
      </w:r>
      <w:proofErr w:type="spellEnd"/>
      <w:r>
        <w:t>. As razões das emoções. In: MENDES, Emília; MACHADO, Ida Lúcia (</w:t>
      </w:r>
      <w:proofErr w:type="spellStart"/>
      <w:r>
        <w:t>orgs</w:t>
      </w:r>
      <w:proofErr w:type="spellEnd"/>
      <w:r>
        <w:t xml:space="preserve">.). </w:t>
      </w:r>
      <w:r w:rsidRPr="00291661">
        <w:rPr>
          <w:b/>
        </w:rPr>
        <w:t>As emoções no discurso.</w:t>
      </w:r>
      <w:r>
        <w:t xml:space="preserve"> Vol. II. Campinas, São Paulo: Mercado de Letras, 2010. </w:t>
      </w:r>
    </w:p>
    <w:p w:rsidR="00D90CB2" w:rsidRPr="00AB25FD" w:rsidRDefault="00D90CB2" w:rsidP="00D90CB2">
      <w:pPr>
        <w:pStyle w:val="Default"/>
        <w:spacing w:after="200" w:line="360" w:lineRule="auto"/>
        <w:jc w:val="both"/>
      </w:pPr>
      <w:r w:rsidRPr="00AB25FD">
        <w:t>RIBEIRO, Ana Elisa.</w:t>
      </w:r>
      <w:r>
        <w:t xml:space="preserve"> </w:t>
      </w:r>
      <w:r w:rsidRPr="00AB25FD">
        <w:rPr>
          <w:b/>
          <w:bCs/>
        </w:rPr>
        <w:t xml:space="preserve">Multimodalidade e produção de textos: </w:t>
      </w:r>
      <w:r w:rsidRPr="00AB25FD">
        <w:t>questões</w:t>
      </w:r>
      <w:r>
        <w:t xml:space="preserve"> </w:t>
      </w:r>
      <w:r w:rsidRPr="00AB25FD">
        <w:t>para o letramento</w:t>
      </w:r>
      <w:r>
        <w:t xml:space="preserve"> na atualidade. </w:t>
      </w:r>
      <w:r w:rsidRPr="00AB25FD">
        <w:t>Revista Signo, Santa Cruz do Sul, v. 38, n. 64, p. 21-34, jan./jun. 2013.</w:t>
      </w:r>
    </w:p>
    <w:p w:rsidR="00D90CB2" w:rsidRDefault="00D90CB2" w:rsidP="00D90CB2">
      <w:pPr>
        <w:pStyle w:val="Default"/>
        <w:spacing w:after="200" w:line="360" w:lineRule="auto"/>
        <w:jc w:val="both"/>
      </w:pPr>
      <w:r w:rsidRPr="00AB25FD">
        <w:t>TAVARES, F. Revista e identidade editorial: mutações e construções de si e de um mesmo. In:</w:t>
      </w:r>
      <w:r>
        <w:t xml:space="preserve"> </w:t>
      </w:r>
      <w:r w:rsidRPr="00AB25FD">
        <w:rPr>
          <w:b/>
          <w:bCs/>
        </w:rPr>
        <w:t>A revista e seu jornalismo</w:t>
      </w:r>
      <w:r w:rsidRPr="00AB25FD">
        <w:rPr>
          <w:i/>
          <w:iCs/>
        </w:rPr>
        <w:t>.</w:t>
      </w:r>
      <w:r>
        <w:rPr>
          <w:i/>
          <w:iCs/>
        </w:rPr>
        <w:t xml:space="preserve"> </w:t>
      </w:r>
      <w:r w:rsidRPr="00AB25FD">
        <w:t>TAVARES, Frederico; SCHWAAB</w:t>
      </w:r>
      <w:proofErr w:type="gramStart"/>
      <w:r w:rsidRPr="00AB25FD">
        <w:t>, Reges</w:t>
      </w:r>
      <w:proofErr w:type="gramEnd"/>
      <w:r w:rsidRPr="00AB25FD">
        <w:t xml:space="preserve"> (</w:t>
      </w:r>
      <w:proofErr w:type="spellStart"/>
      <w:r w:rsidRPr="00AB25FD">
        <w:t>Orgs</w:t>
      </w:r>
      <w:proofErr w:type="spellEnd"/>
      <w:r w:rsidRPr="00AB25FD">
        <w:t xml:space="preserve">.). Porto </w:t>
      </w:r>
      <w:proofErr w:type="spellStart"/>
      <w:r w:rsidRPr="00AB25FD">
        <w:t>Alebre</w:t>
      </w:r>
      <w:proofErr w:type="spellEnd"/>
      <w:r w:rsidRPr="00AB25FD">
        <w:t xml:space="preserve">: </w:t>
      </w:r>
      <w:proofErr w:type="gramStart"/>
      <w:r w:rsidRPr="00AB25FD">
        <w:t>Penso,</w:t>
      </w:r>
      <w:proofErr w:type="gramEnd"/>
      <w:r w:rsidRPr="00AB25FD">
        <w:t xml:space="preserve"> 2013.</w:t>
      </w:r>
    </w:p>
    <w:p w:rsidR="00D90CB2" w:rsidRDefault="00D90CB2" w:rsidP="00D90CB2">
      <w:pPr>
        <w:pStyle w:val="Default"/>
        <w:spacing w:after="200" w:line="360" w:lineRule="auto"/>
        <w:jc w:val="both"/>
      </w:pPr>
      <w:r w:rsidRPr="00D92B2A">
        <w:t xml:space="preserve">VERÓN, </w:t>
      </w:r>
      <w:proofErr w:type="spellStart"/>
      <w:r w:rsidRPr="00D92B2A">
        <w:t>Eliseo</w:t>
      </w:r>
      <w:proofErr w:type="spellEnd"/>
      <w:r w:rsidRPr="00D92B2A">
        <w:t xml:space="preserve">. </w:t>
      </w:r>
      <w:r w:rsidRPr="00BB2B6A">
        <w:t>Quando ler é fazer: a enunciação no discu</w:t>
      </w:r>
      <w:r>
        <w:t xml:space="preserve">rso da imprensa escrita. In: </w:t>
      </w:r>
      <w:r w:rsidRPr="00BB2B6A">
        <w:t xml:space="preserve">VERÓN, </w:t>
      </w:r>
      <w:proofErr w:type="spellStart"/>
      <w:r w:rsidRPr="00BB2B6A">
        <w:t>Eliseo</w:t>
      </w:r>
      <w:proofErr w:type="spellEnd"/>
      <w:r w:rsidRPr="00BB2B6A">
        <w:t xml:space="preserve">. </w:t>
      </w:r>
      <w:r w:rsidRPr="00BB2B6A">
        <w:rPr>
          <w:b/>
        </w:rPr>
        <w:t>Fragmentos de um tecido</w:t>
      </w:r>
      <w:r w:rsidRPr="00BB2B6A">
        <w:t xml:space="preserve">. </w:t>
      </w:r>
      <w:r>
        <w:t xml:space="preserve">Porto Alegre: Editora </w:t>
      </w:r>
      <w:proofErr w:type="spellStart"/>
      <w:r>
        <w:t>Unisinos</w:t>
      </w:r>
      <w:proofErr w:type="spellEnd"/>
      <w:r>
        <w:t xml:space="preserve">, 2004, p. 215-238. </w:t>
      </w:r>
    </w:p>
    <w:p w:rsidR="00D90CB2" w:rsidRPr="00D90CB2" w:rsidRDefault="00D90CB2">
      <w:pPr>
        <w:rPr>
          <w:rFonts w:ascii="Times New Roman" w:hAnsi="Times New Roman" w:cs="Times New Roman"/>
          <w:b/>
          <w:sz w:val="24"/>
          <w:szCs w:val="24"/>
        </w:rPr>
      </w:pPr>
    </w:p>
    <w:sectPr w:rsidR="00D90CB2" w:rsidRPr="00D90CB2" w:rsidSect="0001485F">
      <w:footerReference w:type="default" r:id="rId9"/>
      <w:headerReference w:type="first" r:id="rId10"/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069" w:rsidRDefault="00745069" w:rsidP="00610E24">
      <w:pPr>
        <w:spacing w:after="0" w:line="240" w:lineRule="auto"/>
      </w:pPr>
      <w:r>
        <w:separator/>
      </w:r>
    </w:p>
  </w:endnote>
  <w:endnote w:type="continuationSeparator" w:id="0">
    <w:p w:rsidR="00745069" w:rsidRDefault="00745069" w:rsidP="00610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44900"/>
      <w:docPartObj>
        <w:docPartGallery w:val="Page Numbers (Bottom of Page)"/>
        <w:docPartUnique/>
      </w:docPartObj>
    </w:sdtPr>
    <w:sdtContent>
      <w:p w:rsidR="00C25754" w:rsidRDefault="00C25754">
        <w:pPr>
          <w:pStyle w:val="Rodap"/>
          <w:jc w:val="right"/>
        </w:pPr>
        <w:r w:rsidRPr="00C25754">
          <w:rPr>
            <w:rFonts w:ascii="Times New Roman" w:hAnsi="Times New Roman" w:cs="Times New Roman"/>
          </w:rPr>
          <w:fldChar w:fldCharType="begin"/>
        </w:r>
        <w:r w:rsidRPr="00C25754">
          <w:rPr>
            <w:rFonts w:ascii="Times New Roman" w:hAnsi="Times New Roman" w:cs="Times New Roman"/>
          </w:rPr>
          <w:instrText xml:space="preserve"> PAGE   \* MERGEFORMAT </w:instrText>
        </w:r>
        <w:r w:rsidRPr="00C25754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C25754">
          <w:rPr>
            <w:rFonts w:ascii="Times New Roman" w:hAnsi="Times New Roman" w:cs="Times New Roman"/>
          </w:rPr>
          <w:fldChar w:fldCharType="end"/>
        </w:r>
      </w:p>
    </w:sdtContent>
  </w:sdt>
  <w:p w:rsidR="00C25754" w:rsidRDefault="00C2575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069" w:rsidRDefault="00745069" w:rsidP="00610E24">
      <w:pPr>
        <w:spacing w:after="0" w:line="240" w:lineRule="auto"/>
      </w:pPr>
      <w:r>
        <w:separator/>
      </w:r>
    </w:p>
  </w:footnote>
  <w:footnote w:type="continuationSeparator" w:id="0">
    <w:p w:rsidR="00745069" w:rsidRDefault="00745069" w:rsidP="00610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85F" w:rsidRDefault="0001485F">
    <w:pPr>
      <w:pStyle w:val="Cabealho"/>
    </w:pPr>
    <w:r w:rsidRPr="0001485F">
      <w:rPr>
        <w:noProof/>
        <w:lang w:eastAsia="pt-BR"/>
      </w:rPr>
      <w:drawing>
        <wp:inline distT="0" distB="0" distL="0" distR="0">
          <wp:extent cx="5400040" cy="523352"/>
          <wp:effectExtent l="19050" t="0" r="0" b="0"/>
          <wp:docPr id="3" name="Imagem 1" descr="C:\Users\Marina\Downloads\MARCA_CEFET_C_TEX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na\Downloads\MARCA_CEFET_C_TEXTO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233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0B2E"/>
    <w:multiLevelType w:val="multilevel"/>
    <w:tmpl w:val="389298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2F934A4"/>
    <w:multiLevelType w:val="hybridMultilevel"/>
    <w:tmpl w:val="8BCA2E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97C4A"/>
    <w:multiLevelType w:val="multilevel"/>
    <w:tmpl w:val="139490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3">
    <w:nsid w:val="139144B2"/>
    <w:multiLevelType w:val="hybridMultilevel"/>
    <w:tmpl w:val="5F7CAD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7314E"/>
    <w:multiLevelType w:val="hybridMultilevel"/>
    <w:tmpl w:val="8E6428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100F03"/>
    <w:multiLevelType w:val="hybridMultilevel"/>
    <w:tmpl w:val="E6E219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DD585A"/>
    <w:multiLevelType w:val="hybridMultilevel"/>
    <w:tmpl w:val="9D00703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094EA5"/>
    <w:multiLevelType w:val="multilevel"/>
    <w:tmpl w:val="B1FEE4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">
    <w:nsid w:val="5DBD70EC"/>
    <w:multiLevelType w:val="hybridMultilevel"/>
    <w:tmpl w:val="A250569E"/>
    <w:lvl w:ilvl="0" w:tplc="FF24B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24263F"/>
    <w:multiLevelType w:val="multilevel"/>
    <w:tmpl w:val="7060A0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10E24"/>
    <w:rsid w:val="0001485F"/>
    <w:rsid w:val="00051233"/>
    <w:rsid w:val="00123D22"/>
    <w:rsid w:val="002701AD"/>
    <w:rsid w:val="002874E2"/>
    <w:rsid w:val="00355696"/>
    <w:rsid w:val="00370FCB"/>
    <w:rsid w:val="0048525A"/>
    <w:rsid w:val="004D2CE0"/>
    <w:rsid w:val="005E45DC"/>
    <w:rsid w:val="005F323D"/>
    <w:rsid w:val="00610E24"/>
    <w:rsid w:val="006130B4"/>
    <w:rsid w:val="006C6F46"/>
    <w:rsid w:val="00745069"/>
    <w:rsid w:val="007A3933"/>
    <w:rsid w:val="007D6997"/>
    <w:rsid w:val="00804113"/>
    <w:rsid w:val="00845B41"/>
    <w:rsid w:val="009C351F"/>
    <w:rsid w:val="009C7923"/>
    <w:rsid w:val="00A07443"/>
    <w:rsid w:val="00AC0512"/>
    <w:rsid w:val="00AC05F6"/>
    <w:rsid w:val="00AE70DE"/>
    <w:rsid w:val="00AF5AF1"/>
    <w:rsid w:val="00B219F7"/>
    <w:rsid w:val="00C25754"/>
    <w:rsid w:val="00D61EE8"/>
    <w:rsid w:val="00D90CB2"/>
    <w:rsid w:val="00EE2E60"/>
    <w:rsid w:val="00F0513C"/>
    <w:rsid w:val="00F87803"/>
    <w:rsid w:val="00FE1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24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10E24"/>
    <w:pPr>
      <w:ind w:left="720"/>
      <w:contextualSpacing/>
    </w:pPr>
  </w:style>
  <w:style w:type="paragraph" w:customStyle="1" w:styleId="Default">
    <w:name w:val="Default"/>
    <w:rsid w:val="00610E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0E2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610E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10E24"/>
  </w:style>
  <w:style w:type="paragraph" w:styleId="Rodap">
    <w:name w:val="footer"/>
    <w:basedOn w:val="Normal"/>
    <w:link w:val="RodapChar"/>
    <w:uiPriority w:val="99"/>
    <w:unhideWhenUsed/>
    <w:rsid w:val="00610E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0E24"/>
  </w:style>
  <w:style w:type="table" w:styleId="Tabelacomgrade">
    <w:name w:val="Table Grid"/>
    <w:basedOn w:val="Tabelanormal"/>
    <w:uiPriority w:val="59"/>
    <w:rsid w:val="005F3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CC00F-CFBC-4999-BF05-4103F6B1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9</Pages>
  <Words>2852</Words>
  <Characters>15406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Santos</dc:creator>
  <cp:lastModifiedBy>Marina Santos</cp:lastModifiedBy>
  <cp:revision>22</cp:revision>
  <dcterms:created xsi:type="dcterms:W3CDTF">2015-06-30T19:40:00Z</dcterms:created>
  <dcterms:modified xsi:type="dcterms:W3CDTF">2015-07-02T03:40:00Z</dcterms:modified>
</cp:coreProperties>
</file>